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6E" w:rsidRPr="00063035" w:rsidRDefault="002C746E" w:rsidP="002C746E">
      <w:pPr>
        <w:spacing w:after="120" w:line="240" w:lineRule="auto"/>
        <w:contextualSpacing/>
        <w:rPr>
          <w:rFonts w:ascii="Arial" w:hAnsi="Arial" w:cs="Arial"/>
          <w:b/>
          <w:color w:val="1F3864" w:themeColor="accent5" w:themeShade="80"/>
          <w:sz w:val="26"/>
          <w:szCs w:val="26"/>
        </w:rPr>
      </w:pPr>
      <w:r w:rsidRPr="00063035">
        <w:rPr>
          <w:rFonts w:ascii="Arial" w:hAnsi="Arial" w:cs="Arial"/>
          <w:b/>
          <w:color w:val="1F3864" w:themeColor="accent5" w:themeShade="80"/>
          <w:sz w:val="26"/>
          <w:szCs w:val="26"/>
        </w:rPr>
        <w:t xml:space="preserve">Eight </w:t>
      </w:r>
      <w:r>
        <w:rPr>
          <w:rFonts w:ascii="Arial" w:hAnsi="Arial" w:cs="Arial"/>
          <w:b/>
          <w:color w:val="1F3864" w:themeColor="accent5" w:themeShade="80"/>
          <w:sz w:val="26"/>
          <w:szCs w:val="26"/>
        </w:rPr>
        <w:t xml:space="preserve">more </w:t>
      </w:r>
      <w:r w:rsidRPr="00063035">
        <w:rPr>
          <w:rFonts w:ascii="Arial" w:hAnsi="Arial" w:cs="Arial"/>
          <w:b/>
          <w:color w:val="1F3864" w:themeColor="accent5" w:themeShade="80"/>
          <w:sz w:val="26"/>
          <w:szCs w:val="26"/>
        </w:rPr>
        <w:t>responses to Professor Young</w:t>
      </w:r>
      <w:r>
        <w:rPr>
          <w:rFonts w:ascii="Arial" w:hAnsi="Arial" w:cs="Arial"/>
          <w:b/>
          <w:color w:val="1F3864" w:themeColor="accent5" w:themeShade="80"/>
          <w:sz w:val="26"/>
          <w:szCs w:val="26"/>
        </w:rPr>
        <w:t xml:space="preserve">—nine </w:t>
      </w:r>
      <w:r>
        <w:rPr>
          <w:rFonts w:ascii="Arial" w:hAnsi="Arial" w:cs="Arial"/>
          <w:b/>
          <w:color w:val="1F3864" w:themeColor="accent5" w:themeShade="80"/>
          <w:sz w:val="26"/>
          <w:szCs w:val="26"/>
        </w:rPr>
        <w:t>really</w:t>
      </w:r>
      <w:bookmarkStart w:id="0" w:name="_GoBack"/>
      <w:bookmarkEnd w:id="0"/>
    </w:p>
    <w:p w:rsidR="00063035" w:rsidRPr="00DC0C0F" w:rsidRDefault="00C8261D" w:rsidP="00C8261D">
      <w:pPr>
        <w:spacing w:after="120" w:line="240" w:lineRule="auto"/>
        <w:contextualSpacing/>
        <w:rPr>
          <w:rFonts w:ascii="Arial" w:hAnsi="Arial" w:cs="Arial"/>
          <w:color w:val="1F3864" w:themeColor="accent5" w:themeShade="80"/>
          <w:sz w:val="23"/>
          <w:szCs w:val="23"/>
        </w:rPr>
      </w:pPr>
      <w:r w:rsidRPr="00DC0C0F">
        <w:rPr>
          <w:rFonts w:ascii="Arial" w:hAnsi="Arial" w:cs="Arial"/>
          <w:color w:val="1F3864" w:themeColor="accent5" w:themeShade="80"/>
          <w:sz w:val="23"/>
          <w:szCs w:val="23"/>
        </w:rPr>
        <w:t>Gregory W. Sullivan</w:t>
      </w:r>
    </w:p>
    <w:p w:rsidR="00C8261D" w:rsidRPr="00DC0C0F" w:rsidRDefault="00C8261D" w:rsidP="00C8261D">
      <w:pPr>
        <w:spacing w:after="120" w:line="240" w:lineRule="auto"/>
        <w:contextualSpacing/>
        <w:rPr>
          <w:rFonts w:ascii="Arial" w:hAnsi="Arial" w:cs="Arial"/>
          <w:color w:val="1F3864" w:themeColor="accent5" w:themeShade="80"/>
          <w:sz w:val="23"/>
          <w:szCs w:val="23"/>
        </w:rPr>
      </w:pPr>
      <w:r w:rsidRPr="00DC0C0F">
        <w:rPr>
          <w:rFonts w:ascii="Arial" w:hAnsi="Arial" w:cs="Arial"/>
          <w:color w:val="1F3864" w:themeColor="accent5" w:themeShade="80"/>
          <w:sz w:val="23"/>
          <w:szCs w:val="23"/>
        </w:rPr>
        <w:t>May 22, 2018</w:t>
      </w:r>
    </w:p>
    <w:p w:rsidR="00C8261D" w:rsidRDefault="00C8261D" w:rsidP="00063035">
      <w:pPr>
        <w:spacing w:line="240" w:lineRule="auto"/>
        <w:rPr>
          <w:rFonts w:ascii="Times New Roman" w:hAnsi="Times New Roman" w:cs="Times New Roman"/>
          <w:sz w:val="24"/>
          <w:szCs w:val="24"/>
        </w:rPr>
      </w:pPr>
    </w:p>
    <w:p w:rsidR="00483D88" w:rsidRPr="00063035" w:rsidRDefault="00483D88" w:rsidP="00DC0C0F">
      <w:pPr>
        <w:spacing w:after="240" w:line="240" w:lineRule="auto"/>
        <w:rPr>
          <w:rFonts w:ascii="Times New Roman" w:hAnsi="Times New Roman" w:cs="Times New Roman"/>
          <w:sz w:val="24"/>
          <w:szCs w:val="24"/>
        </w:rPr>
      </w:pPr>
      <w:r w:rsidRPr="00063035">
        <w:rPr>
          <w:rFonts w:ascii="Times New Roman" w:hAnsi="Times New Roman" w:cs="Times New Roman"/>
          <w:sz w:val="24"/>
          <w:szCs w:val="24"/>
        </w:rPr>
        <w:t>Professor Young has issued a response to Pioneer</w:t>
      </w:r>
      <w:r w:rsidR="00CC64EC" w:rsidRPr="00063035">
        <w:rPr>
          <w:rFonts w:ascii="Times New Roman" w:hAnsi="Times New Roman" w:cs="Times New Roman"/>
          <w:sz w:val="24"/>
          <w:szCs w:val="24"/>
        </w:rPr>
        <w:t xml:space="preserve"> Institute</w:t>
      </w:r>
      <w:r w:rsidRPr="00063035">
        <w:rPr>
          <w:rFonts w:ascii="Times New Roman" w:hAnsi="Times New Roman" w:cs="Times New Roman"/>
          <w:sz w:val="24"/>
          <w:szCs w:val="24"/>
        </w:rPr>
        <w:t>’s “Eight Reasons to Question Professor Cristobal Young’s Conclusions about Millionaire Migration</w:t>
      </w:r>
      <w:r w:rsidR="008D6906" w:rsidRPr="00063035">
        <w:rPr>
          <w:rFonts w:ascii="Times New Roman" w:hAnsi="Times New Roman" w:cs="Times New Roman"/>
          <w:sz w:val="24"/>
          <w:szCs w:val="24"/>
        </w:rPr>
        <w:t>.”</w:t>
      </w:r>
      <w:r w:rsidR="0052628F" w:rsidRPr="00063035">
        <w:rPr>
          <w:rFonts w:ascii="Times New Roman" w:hAnsi="Times New Roman" w:cs="Times New Roman"/>
          <w:sz w:val="24"/>
          <w:szCs w:val="24"/>
        </w:rPr>
        <w:t xml:space="preserve"> </w:t>
      </w:r>
      <w:r w:rsidR="008D6906" w:rsidRPr="00063035">
        <w:rPr>
          <w:rFonts w:ascii="Times New Roman" w:hAnsi="Times New Roman" w:cs="Times New Roman"/>
          <w:sz w:val="24"/>
          <w:szCs w:val="24"/>
        </w:rPr>
        <w:t>Pioneer’s</w:t>
      </w:r>
      <w:r w:rsidR="0049314F" w:rsidRPr="00063035">
        <w:rPr>
          <w:rFonts w:ascii="Times New Roman" w:hAnsi="Times New Roman" w:cs="Times New Roman"/>
          <w:sz w:val="24"/>
          <w:szCs w:val="24"/>
        </w:rPr>
        <w:t xml:space="preserve"> response</w:t>
      </w:r>
      <w:r w:rsidR="00DC0C0F">
        <w:rPr>
          <w:rFonts w:ascii="Times New Roman" w:hAnsi="Times New Roman" w:cs="Times New Roman"/>
          <w:sz w:val="24"/>
          <w:szCs w:val="24"/>
        </w:rPr>
        <w:t xml:space="preserve"> follows.</w:t>
      </w:r>
    </w:p>
    <w:p w:rsidR="0055225A" w:rsidRPr="00DC0C0F" w:rsidRDefault="0052628F" w:rsidP="00DC0C0F">
      <w:pPr>
        <w:spacing w:after="120" w:line="240" w:lineRule="auto"/>
        <w:rPr>
          <w:rFonts w:ascii="Arial" w:hAnsi="Arial" w:cs="Arial"/>
          <w:b/>
          <w:color w:val="1F3864" w:themeColor="accent5" w:themeShade="80"/>
          <w:sz w:val="23"/>
          <w:szCs w:val="23"/>
        </w:rPr>
      </w:pPr>
      <w:r w:rsidRPr="00DC0C0F">
        <w:rPr>
          <w:rFonts w:ascii="Arial" w:hAnsi="Arial" w:cs="Arial"/>
          <w:b/>
          <w:color w:val="1F3864" w:themeColor="accent5" w:themeShade="80"/>
          <w:sz w:val="23"/>
          <w:szCs w:val="23"/>
        </w:rPr>
        <w:t xml:space="preserve">Pioneer’s </w:t>
      </w:r>
      <w:r w:rsidR="00483D88" w:rsidRPr="00DC0C0F">
        <w:rPr>
          <w:rFonts w:ascii="Arial" w:hAnsi="Arial" w:cs="Arial"/>
          <w:b/>
          <w:color w:val="1F3864" w:themeColor="accent5" w:themeShade="80"/>
          <w:sz w:val="23"/>
          <w:szCs w:val="23"/>
        </w:rPr>
        <w:t>Reason 1</w:t>
      </w:r>
      <w:r w:rsidR="00063035" w:rsidRPr="00DC0C0F">
        <w:rPr>
          <w:rFonts w:ascii="Arial" w:hAnsi="Arial" w:cs="Arial"/>
          <w:b/>
          <w:color w:val="1F3864" w:themeColor="accent5" w:themeShade="80"/>
          <w:sz w:val="23"/>
          <w:szCs w:val="23"/>
        </w:rPr>
        <w:t xml:space="preserve">:  </w:t>
      </w:r>
      <w:r w:rsidR="0055225A" w:rsidRPr="00DC0C0F">
        <w:rPr>
          <w:rFonts w:ascii="Arial" w:hAnsi="Arial" w:cs="Arial"/>
          <w:b/>
          <w:color w:val="1F3864" w:themeColor="accent5" w:themeShade="80"/>
          <w:sz w:val="23"/>
          <w:szCs w:val="23"/>
        </w:rPr>
        <w:t>Professor Young overlooks a vast proportion of millionaire migration in the U.S. because his research is limited to taxpayers who file federal tax returns with incomes of $1 million or more from one state in one year and then file a federal tax return</w:t>
      </w:r>
      <w:r w:rsidR="00CC64EC" w:rsidRPr="00DC0C0F">
        <w:rPr>
          <w:rFonts w:ascii="Arial" w:hAnsi="Arial" w:cs="Arial"/>
          <w:b/>
          <w:color w:val="1F3864" w:themeColor="accent5" w:themeShade="80"/>
          <w:sz w:val="23"/>
          <w:szCs w:val="23"/>
        </w:rPr>
        <w:t xml:space="preserve"> </w:t>
      </w:r>
      <w:r w:rsidR="0055225A" w:rsidRPr="00DC0C0F">
        <w:rPr>
          <w:rFonts w:ascii="Arial" w:hAnsi="Arial" w:cs="Arial"/>
          <w:b/>
          <w:color w:val="1F3864" w:themeColor="accent5" w:themeShade="80"/>
          <w:sz w:val="23"/>
          <w:szCs w:val="23"/>
        </w:rPr>
        <w:t xml:space="preserve">from a different state in the following year. </w:t>
      </w:r>
    </w:p>
    <w:p w:rsidR="0055225A" w:rsidRPr="00063035" w:rsidRDefault="00483D88" w:rsidP="00DC0C0F">
      <w:pPr>
        <w:spacing w:line="240" w:lineRule="auto"/>
        <w:rPr>
          <w:rFonts w:ascii="Times New Roman" w:hAnsi="Times New Roman" w:cs="Times New Roman"/>
          <w:sz w:val="24"/>
          <w:szCs w:val="24"/>
        </w:rPr>
      </w:pPr>
      <w:r w:rsidRPr="00063035">
        <w:rPr>
          <w:rFonts w:ascii="Times New Roman" w:hAnsi="Times New Roman" w:cs="Times New Roman"/>
          <w:sz w:val="24"/>
          <w:szCs w:val="24"/>
        </w:rPr>
        <w:t xml:space="preserve">Professor Young </w:t>
      </w:r>
      <w:r w:rsidR="0055225A" w:rsidRPr="00063035">
        <w:rPr>
          <w:rFonts w:ascii="Times New Roman" w:hAnsi="Times New Roman" w:cs="Times New Roman"/>
          <w:sz w:val="24"/>
          <w:szCs w:val="24"/>
        </w:rPr>
        <w:t xml:space="preserve">responds </w:t>
      </w:r>
      <w:r w:rsidR="008D6906" w:rsidRPr="00063035">
        <w:rPr>
          <w:rFonts w:ascii="Times New Roman" w:hAnsi="Times New Roman" w:cs="Times New Roman"/>
          <w:sz w:val="24"/>
          <w:szCs w:val="24"/>
        </w:rPr>
        <w:t xml:space="preserve">to Reason 1 </w:t>
      </w:r>
      <w:r w:rsidR="0055225A" w:rsidRPr="00063035">
        <w:rPr>
          <w:rFonts w:ascii="Times New Roman" w:hAnsi="Times New Roman" w:cs="Times New Roman"/>
          <w:sz w:val="24"/>
          <w:szCs w:val="24"/>
        </w:rPr>
        <w:t>by conceding</w:t>
      </w:r>
      <w:r w:rsidRPr="00063035">
        <w:rPr>
          <w:rFonts w:ascii="Times New Roman" w:hAnsi="Times New Roman" w:cs="Times New Roman"/>
          <w:sz w:val="24"/>
          <w:szCs w:val="24"/>
        </w:rPr>
        <w:t xml:space="preserve"> that “The lead criticism is that I did not consider people who are millionaires by net worth. That is largely true.”</w:t>
      </w:r>
      <w:r w:rsidR="00F23FCA" w:rsidRPr="00063035">
        <w:rPr>
          <w:rFonts w:ascii="Times New Roman" w:hAnsi="Times New Roman" w:cs="Times New Roman"/>
          <w:sz w:val="24"/>
          <w:szCs w:val="24"/>
        </w:rPr>
        <w:t xml:space="preserve"> </w:t>
      </w:r>
      <w:r w:rsidR="003A4EE2" w:rsidRPr="00063035">
        <w:rPr>
          <w:rFonts w:ascii="Times New Roman" w:hAnsi="Times New Roman" w:cs="Times New Roman"/>
          <w:sz w:val="24"/>
          <w:szCs w:val="24"/>
        </w:rPr>
        <w:t xml:space="preserve">He continues by </w:t>
      </w:r>
      <w:r w:rsidR="0040754A" w:rsidRPr="00063035">
        <w:rPr>
          <w:rFonts w:ascii="Times New Roman" w:hAnsi="Times New Roman" w:cs="Times New Roman"/>
          <w:sz w:val="24"/>
          <w:szCs w:val="24"/>
        </w:rPr>
        <w:t xml:space="preserve">arguing that the initiative petition </w:t>
      </w:r>
      <w:r w:rsidR="00CC64EC" w:rsidRPr="00063035">
        <w:rPr>
          <w:rFonts w:ascii="Times New Roman" w:hAnsi="Times New Roman" w:cs="Times New Roman"/>
          <w:sz w:val="24"/>
          <w:szCs w:val="24"/>
        </w:rPr>
        <w:t xml:space="preserve">to amend the Massachusetts Constitution </w:t>
      </w:r>
      <w:r w:rsidR="0040754A" w:rsidRPr="00063035">
        <w:rPr>
          <w:rFonts w:ascii="Times New Roman" w:hAnsi="Times New Roman" w:cs="Times New Roman"/>
          <w:sz w:val="24"/>
          <w:szCs w:val="24"/>
        </w:rPr>
        <w:t>pertains to those earning $1 million or more. He adds that billionaires also have lower migration rates than the middle class or the poor.</w:t>
      </w:r>
    </w:p>
    <w:p w:rsidR="00F23FCA" w:rsidRPr="00063035" w:rsidRDefault="0040754A" w:rsidP="00DC0C0F">
      <w:pPr>
        <w:spacing w:after="300" w:line="240" w:lineRule="auto"/>
        <w:rPr>
          <w:rFonts w:ascii="Times New Roman" w:hAnsi="Times New Roman" w:cs="Times New Roman"/>
          <w:sz w:val="24"/>
          <w:szCs w:val="24"/>
        </w:rPr>
      </w:pPr>
      <w:r w:rsidRPr="00063035">
        <w:rPr>
          <w:rFonts w:ascii="Arial" w:hAnsi="Arial" w:cs="Arial"/>
          <w:b/>
          <w:color w:val="1F3864" w:themeColor="accent5" w:themeShade="80"/>
          <w:sz w:val="21"/>
          <w:szCs w:val="21"/>
        </w:rPr>
        <w:t xml:space="preserve">Pioneer’s </w:t>
      </w:r>
      <w:r w:rsidR="0055225A" w:rsidRPr="00063035">
        <w:rPr>
          <w:rFonts w:ascii="Arial" w:hAnsi="Arial" w:cs="Arial"/>
          <w:b/>
          <w:color w:val="1F3864" w:themeColor="accent5" w:themeShade="80"/>
          <w:sz w:val="21"/>
          <w:szCs w:val="21"/>
        </w:rPr>
        <w:t>Comment</w:t>
      </w:r>
      <w:r w:rsidR="0055225A" w:rsidRPr="00063035">
        <w:rPr>
          <w:rFonts w:ascii="Times New Roman" w:hAnsi="Times New Roman" w:cs="Times New Roman"/>
          <w:sz w:val="24"/>
          <w:szCs w:val="24"/>
        </w:rPr>
        <w:t xml:space="preserve">: </w:t>
      </w:r>
      <w:r w:rsidRPr="00063035">
        <w:rPr>
          <w:rFonts w:ascii="Times New Roman" w:hAnsi="Times New Roman" w:cs="Times New Roman"/>
          <w:sz w:val="24"/>
          <w:szCs w:val="24"/>
        </w:rPr>
        <w:t>Professor Young concedes that he does not consider people who are millionaires by net worth; this</w:t>
      </w:r>
      <w:r w:rsidR="0020428D" w:rsidRPr="00063035">
        <w:rPr>
          <w:rFonts w:ascii="Times New Roman" w:hAnsi="Times New Roman" w:cs="Times New Roman"/>
          <w:sz w:val="24"/>
          <w:szCs w:val="24"/>
        </w:rPr>
        <w:t xml:space="preserve"> is a significant concession given that our paper points out that Professor Young</w:t>
      </w:r>
      <w:r w:rsidR="00F23FCA" w:rsidRPr="00063035">
        <w:rPr>
          <w:rFonts w:ascii="Times New Roman" w:hAnsi="Times New Roman" w:cs="Times New Roman"/>
          <w:sz w:val="24"/>
          <w:szCs w:val="24"/>
        </w:rPr>
        <w:t>’s research methodology</w:t>
      </w:r>
      <w:r w:rsidR="0020428D" w:rsidRPr="00063035">
        <w:rPr>
          <w:rFonts w:ascii="Times New Roman" w:hAnsi="Times New Roman" w:cs="Times New Roman"/>
          <w:sz w:val="24"/>
          <w:szCs w:val="24"/>
        </w:rPr>
        <w:t xml:space="preserve"> counts </w:t>
      </w:r>
      <w:r w:rsidR="00F23FCA" w:rsidRPr="00063035">
        <w:rPr>
          <w:rFonts w:ascii="Times New Roman" w:hAnsi="Times New Roman" w:cs="Times New Roman"/>
          <w:sz w:val="24"/>
          <w:szCs w:val="24"/>
        </w:rPr>
        <w:t xml:space="preserve">only </w:t>
      </w:r>
      <w:r w:rsidR="0020428D" w:rsidRPr="00063035">
        <w:rPr>
          <w:rFonts w:ascii="Times New Roman" w:hAnsi="Times New Roman" w:cs="Times New Roman"/>
          <w:sz w:val="24"/>
          <w:szCs w:val="24"/>
        </w:rPr>
        <w:t>438,370 m</w:t>
      </w:r>
      <w:r w:rsidR="00F23FCA" w:rsidRPr="00063035">
        <w:rPr>
          <w:rFonts w:ascii="Times New Roman" w:hAnsi="Times New Roman" w:cs="Times New Roman"/>
          <w:sz w:val="24"/>
          <w:szCs w:val="24"/>
        </w:rPr>
        <w:t>illionaires in the U.S. in 2015, a small fraction of net-worth millionaires.</w:t>
      </w:r>
      <w:r w:rsidR="0055225A" w:rsidRPr="00063035">
        <w:rPr>
          <w:rFonts w:ascii="Times New Roman" w:hAnsi="Times New Roman" w:cs="Times New Roman"/>
          <w:sz w:val="24"/>
          <w:szCs w:val="24"/>
        </w:rPr>
        <w:t xml:space="preserve"> </w:t>
      </w:r>
      <w:r w:rsidR="00F23FCA" w:rsidRPr="00063035">
        <w:rPr>
          <w:rFonts w:ascii="Times New Roman" w:hAnsi="Times New Roman" w:cs="Times New Roman"/>
          <w:sz w:val="24"/>
          <w:szCs w:val="24"/>
        </w:rPr>
        <w:t>For example, t</w:t>
      </w:r>
      <w:r w:rsidR="0020428D" w:rsidRPr="00063035">
        <w:rPr>
          <w:rFonts w:ascii="Times New Roman" w:hAnsi="Times New Roman" w:cs="Times New Roman"/>
          <w:sz w:val="24"/>
          <w:szCs w:val="24"/>
        </w:rPr>
        <w:t xml:space="preserve">he Federal Reserve Board estimates that </w:t>
      </w:r>
      <w:r w:rsidR="00F23FCA" w:rsidRPr="00063035">
        <w:rPr>
          <w:rFonts w:ascii="Times New Roman" w:hAnsi="Times New Roman" w:cs="Times New Roman"/>
          <w:sz w:val="24"/>
          <w:szCs w:val="24"/>
        </w:rPr>
        <w:t xml:space="preserve">in 2016, the U.S. had 4.43 million households with net worth of between $2.5 million and $10 million. Of these 4.43 million households, 4.09 million (92.3 percent) had incomes of less than $1 million in 2016, with an average income of $306,087, and therefore would not be counted as millionaires using Professor Young’s methodology if they moved to another state in the following year. </w:t>
      </w:r>
      <w:r w:rsidR="0085302E" w:rsidRPr="00063035">
        <w:rPr>
          <w:rFonts w:ascii="Times New Roman" w:hAnsi="Times New Roman" w:cs="Times New Roman"/>
          <w:sz w:val="24"/>
          <w:szCs w:val="24"/>
        </w:rPr>
        <w:t>Our paper delineates similar data for five ranges of net</w:t>
      </w:r>
      <w:r w:rsidR="00CC64EC" w:rsidRPr="00063035">
        <w:rPr>
          <w:rFonts w:ascii="Times New Roman" w:hAnsi="Times New Roman" w:cs="Times New Roman"/>
          <w:sz w:val="24"/>
          <w:szCs w:val="24"/>
        </w:rPr>
        <w:t xml:space="preserve"> </w:t>
      </w:r>
      <w:r w:rsidR="0085302E" w:rsidRPr="00063035">
        <w:rPr>
          <w:rFonts w:ascii="Times New Roman" w:hAnsi="Times New Roman" w:cs="Times New Roman"/>
          <w:sz w:val="24"/>
          <w:szCs w:val="24"/>
        </w:rPr>
        <w:t xml:space="preserve">worth. </w:t>
      </w:r>
      <w:r w:rsidRPr="00063035">
        <w:rPr>
          <w:rFonts w:ascii="Times New Roman" w:hAnsi="Times New Roman" w:cs="Times New Roman"/>
          <w:sz w:val="24"/>
          <w:szCs w:val="24"/>
        </w:rPr>
        <w:t>Pioneer’s paper points out that Professor Young’s methodology misses many high net-worth taxpayers who move to another state and then e</w:t>
      </w:r>
      <w:r w:rsidR="0085302E" w:rsidRPr="00063035">
        <w:rPr>
          <w:rFonts w:ascii="Times New Roman" w:hAnsi="Times New Roman" w:cs="Times New Roman"/>
          <w:sz w:val="24"/>
          <w:szCs w:val="24"/>
        </w:rPr>
        <w:t xml:space="preserve">arn more than </w:t>
      </w:r>
      <w:r w:rsidR="00CC64EC" w:rsidRPr="00063035">
        <w:rPr>
          <w:rFonts w:ascii="Times New Roman" w:hAnsi="Times New Roman" w:cs="Times New Roman"/>
          <w:sz w:val="24"/>
          <w:szCs w:val="24"/>
        </w:rPr>
        <w:t>$1</w:t>
      </w:r>
      <w:r w:rsidR="0085302E" w:rsidRPr="00063035">
        <w:rPr>
          <w:rFonts w:ascii="Times New Roman" w:hAnsi="Times New Roman" w:cs="Times New Roman"/>
          <w:sz w:val="24"/>
          <w:szCs w:val="24"/>
        </w:rPr>
        <w:t xml:space="preserve"> million, as well as those who have earned more than </w:t>
      </w:r>
      <w:r w:rsidR="00CC64EC" w:rsidRPr="00063035">
        <w:rPr>
          <w:rFonts w:ascii="Times New Roman" w:hAnsi="Times New Roman" w:cs="Times New Roman"/>
          <w:sz w:val="24"/>
          <w:szCs w:val="24"/>
        </w:rPr>
        <w:t>$1</w:t>
      </w:r>
      <w:r w:rsidR="0085302E" w:rsidRPr="00063035">
        <w:rPr>
          <w:rFonts w:ascii="Times New Roman" w:hAnsi="Times New Roman" w:cs="Times New Roman"/>
          <w:sz w:val="24"/>
          <w:szCs w:val="24"/>
        </w:rPr>
        <w:t xml:space="preserve"> million in annual income in </w:t>
      </w:r>
      <w:r w:rsidR="00CC64EC" w:rsidRPr="00063035">
        <w:rPr>
          <w:rFonts w:ascii="Times New Roman" w:hAnsi="Times New Roman" w:cs="Times New Roman"/>
          <w:sz w:val="24"/>
          <w:szCs w:val="24"/>
        </w:rPr>
        <w:t>p</w:t>
      </w:r>
      <w:r w:rsidR="0085302E" w:rsidRPr="00063035">
        <w:rPr>
          <w:rFonts w:ascii="Times New Roman" w:hAnsi="Times New Roman" w:cs="Times New Roman"/>
          <w:sz w:val="24"/>
          <w:szCs w:val="24"/>
        </w:rPr>
        <w:t>r</w:t>
      </w:r>
      <w:r w:rsidR="00CC64EC" w:rsidRPr="00063035">
        <w:rPr>
          <w:rFonts w:ascii="Times New Roman" w:hAnsi="Times New Roman" w:cs="Times New Roman"/>
          <w:sz w:val="24"/>
          <w:szCs w:val="24"/>
        </w:rPr>
        <w:t>evious</w:t>
      </w:r>
      <w:r w:rsidR="0085302E" w:rsidRPr="00063035">
        <w:rPr>
          <w:rFonts w:ascii="Times New Roman" w:hAnsi="Times New Roman" w:cs="Times New Roman"/>
          <w:sz w:val="24"/>
          <w:szCs w:val="24"/>
        </w:rPr>
        <w:t xml:space="preserve"> years.</w:t>
      </w:r>
      <w:r w:rsidRPr="00063035">
        <w:rPr>
          <w:rFonts w:ascii="Times New Roman" w:hAnsi="Times New Roman" w:cs="Times New Roman"/>
          <w:sz w:val="24"/>
          <w:szCs w:val="24"/>
        </w:rPr>
        <w:t xml:space="preserve"> </w:t>
      </w:r>
      <w:r w:rsidR="00CC64EC" w:rsidRPr="00063035">
        <w:rPr>
          <w:rFonts w:ascii="Times New Roman" w:hAnsi="Times New Roman" w:cs="Times New Roman"/>
          <w:sz w:val="24"/>
          <w:szCs w:val="24"/>
        </w:rPr>
        <w:t>Losing</w:t>
      </w:r>
      <w:r w:rsidRPr="00063035">
        <w:rPr>
          <w:rFonts w:ascii="Times New Roman" w:hAnsi="Times New Roman" w:cs="Times New Roman"/>
          <w:sz w:val="24"/>
          <w:szCs w:val="24"/>
        </w:rPr>
        <w:t xml:space="preserve"> these taxpayers </w:t>
      </w:r>
      <w:r w:rsidR="00CC64EC" w:rsidRPr="00063035">
        <w:rPr>
          <w:rFonts w:ascii="Times New Roman" w:hAnsi="Times New Roman" w:cs="Times New Roman"/>
          <w:sz w:val="24"/>
          <w:szCs w:val="24"/>
        </w:rPr>
        <w:t>would have</w:t>
      </w:r>
      <w:r w:rsidR="0085302E" w:rsidRPr="00063035">
        <w:rPr>
          <w:rFonts w:ascii="Times New Roman" w:hAnsi="Times New Roman" w:cs="Times New Roman"/>
          <w:sz w:val="24"/>
          <w:szCs w:val="24"/>
        </w:rPr>
        <w:t xml:space="preserve"> a</w:t>
      </w:r>
      <w:r w:rsidRPr="00063035">
        <w:rPr>
          <w:rFonts w:ascii="Times New Roman" w:hAnsi="Times New Roman" w:cs="Times New Roman"/>
          <w:sz w:val="24"/>
          <w:szCs w:val="24"/>
        </w:rPr>
        <w:t xml:space="preserve"> </w:t>
      </w:r>
      <w:r w:rsidR="0085302E" w:rsidRPr="00063035">
        <w:rPr>
          <w:rFonts w:ascii="Times New Roman" w:hAnsi="Times New Roman" w:cs="Times New Roman"/>
          <w:sz w:val="24"/>
          <w:szCs w:val="24"/>
        </w:rPr>
        <w:t xml:space="preserve">substantial </w:t>
      </w:r>
      <w:r w:rsidRPr="00063035">
        <w:rPr>
          <w:rFonts w:ascii="Times New Roman" w:hAnsi="Times New Roman" w:cs="Times New Roman"/>
          <w:sz w:val="24"/>
          <w:szCs w:val="24"/>
        </w:rPr>
        <w:t>economic impact</w:t>
      </w:r>
      <w:r w:rsidR="0085302E" w:rsidRPr="00063035">
        <w:rPr>
          <w:rFonts w:ascii="Times New Roman" w:hAnsi="Times New Roman" w:cs="Times New Roman"/>
          <w:sz w:val="24"/>
          <w:szCs w:val="24"/>
        </w:rPr>
        <w:t xml:space="preserve"> that should not be ignored. </w:t>
      </w:r>
      <w:r w:rsidRPr="00063035">
        <w:rPr>
          <w:rFonts w:ascii="Times New Roman" w:hAnsi="Times New Roman" w:cs="Times New Roman"/>
          <w:sz w:val="24"/>
          <w:szCs w:val="24"/>
        </w:rPr>
        <w:t>Our paper also points out that nearly 30 percent of net-worth billionaires earned less than $1 million in income in 2016.</w:t>
      </w:r>
    </w:p>
    <w:p w:rsidR="0055225A" w:rsidRPr="00DC0C0F" w:rsidRDefault="0052628F" w:rsidP="00DC0C0F">
      <w:pPr>
        <w:spacing w:after="120" w:line="240" w:lineRule="auto"/>
        <w:rPr>
          <w:rFonts w:ascii="Arial" w:hAnsi="Arial" w:cs="Arial"/>
          <w:b/>
          <w:color w:val="1F3864" w:themeColor="accent5" w:themeShade="80"/>
          <w:sz w:val="23"/>
          <w:szCs w:val="23"/>
        </w:rPr>
      </w:pPr>
      <w:r w:rsidRPr="00DC0C0F">
        <w:rPr>
          <w:rFonts w:ascii="Arial" w:hAnsi="Arial" w:cs="Arial"/>
          <w:b/>
          <w:color w:val="1F3864" w:themeColor="accent5" w:themeShade="80"/>
          <w:sz w:val="23"/>
          <w:szCs w:val="23"/>
        </w:rPr>
        <w:t xml:space="preserve">Pioneer’s </w:t>
      </w:r>
      <w:r w:rsidR="00F23FCA" w:rsidRPr="00DC0C0F">
        <w:rPr>
          <w:rFonts w:ascii="Arial" w:hAnsi="Arial" w:cs="Arial"/>
          <w:b/>
          <w:color w:val="1F3864" w:themeColor="accent5" w:themeShade="80"/>
          <w:sz w:val="23"/>
          <w:szCs w:val="23"/>
        </w:rPr>
        <w:t xml:space="preserve">Reason 2: IRS data show that taxpayers who earn more than $1 million in annual income do so infrequently. </w:t>
      </w:r>
    </w:p>
    <w:p w:rsidR="0055225A" w:rsidRPr="00063035" w:rsidRDefault="00F23FCA" w:rsidP="00DC0C0F">
      <w:pPr>
        <w:spacing w:line="240" w:lineRule="auto"/>
        <w:rPr>
          <w:rFonts w:ascii="Times New Roman" w:hAnsi="Times New Roman" w:cs="Times New Roman"/>
          <w:sz w:val="24"/>
          <w:szCs w:val="24"/>
        </w:rPr>
      </w:pPr>
      <w:r w:rsidRPr="00063035">
        <w:rPr>
          <w:rFonts w:ascii="Times New Roman" w:hAnsi="Times New Roman" w:cs="Times New Roman"/>
          <w:sz w:val="24"/>
          <w:szCs w:val="24"/>
        </w:rPr>
        <w:t xml:space="preserve">Professor Young responds </w:t>
      </w:r>
      <w:r w:rsidR="0052628F" w:rsidRPr="00063035">
        <w:rPr>
          <w:rFonts w:ascii="Times New Roman" w:hAnsi="Times New Roman" w:cs="Times New Roman"/>
          <w:sz w:val="24"/>
          <w:szCs w:val="24"/>
        </w:rPr>
        <w:t xml:space="preserve">to Reason 2 </w:t>
      </w:r>
      <w:r w:rsidRPr="00063035">
        <w:rPr>
          <w:rFonts w:ascii="Times New Roman" w:hAnsi="Times New Roman" w:cs="Times New Roman"/>
          <w:sz w:val="24"/>
          <w:szCs w:val="24"/>
        </w:rPr>
        <w:t xml:space="preserve">by stating that </w:t>
      </w:r>
      <w:r w:rsidR="0055225A" w:rsidRPr="00063035">
        <w:rPr>
          <w:rFonts w:ascii="Times New Roman" w:hAnsi="Times New Roman" w:cs="Times New Roman"/>
          <w:sz w:val="24"/>
          <w:szCs w:val="24"/>
        </w:rPr>
        <w:t>“</w:t>
      </w:r>
      <w:r w:rsidRPr="00063035">
        <w:rPr>
          <w:rFonts w:ascii="Times New Roman" w:hAnsi="Times New Roman" w:cs="Times New Roman"/>
          <w:sz w:val="24"/>
          <w:szCs w:val="24"/>
        </w:rPr>
        <w:t>We showed that highly persistent millionaires have lower migration rates – they are more tied to place than one-time millionaires. However, when they do move, they are more likely to make their destination a lower-tax state. These two effects largely cancel each other out</w:t>
      </w:r>
      <w:r w:rsidR="0055225A" w:rsidRPr="00063035">
        <w:rPr>
          <w:rFonts w:ascii="Times New Roman" w:hAnsi="Times New Roman" w:cs="Times New Roman"/>
          <w:sz w:val="24"/>
          <w:szCs w:val="24"/>
        </w:rPr>
        <w:t xml:space="preserve">.”  </w:t>
      </w:r>
    </w:p>
    <w:p w:rsidR="008D6906" w:rsidRPr="00063035" w:rsidRDefault="0040754A" w:rsidP="00DC0C0F">
      <w:pPr>
        <w:spacing w:line="240" w:lineRule="auto"/>
        <w:rPr>
          <w:rFonts w:ascii="Times New Roman" w:hAnsi="Times New Roman" w:cs="Times New Roman"/>
          <w:sz w:val="24"/>
          <w:szCs w:val="24"/>
        </w:rPr>
      </w:pPr>
      <w:r w:rsidRPr="00063035">
        <w:rPr>
          <w:rFonts w:ascii="Arial" w:hAnsi="Arial" w:cs="Arial"/>
          <w:b/>
          <w:color w:val="1F3864" w:themeColor="accent5" w:themeShade="80"/>
          <w:sz w:val="21"/>
          <w:szCs w:val="21"/>
        </w:rPr>
        <w:t>Pioneer’s c</w:t>
      </w:r>
      <w:r w:rsidR="0055225A" w:rsidRPr="00063035">
        <w:rPr>
          <w:rFonts w:ascii="Arial" w:hAnsi="Arial" w:cs="Arial"/>
          <w:b/>
          <w:color w:val="1F3864" w:themeColor="accent5" w:themeShade="80"/>
          <w:sz w:val="21"/>
          <w:szCs w:val="21"/>
        </w:rPr>
        <w:t>omment</w:t>
      </w:r>
      <w:r w:rsidR="0055225A" w:rsidRPr="00063035">
        <w:rPr>
          <w:rFonts w:ascii="Times New Roman" w:hAnsi="Times New Roman" w:cs="Times New Roman"/>
          <w:sz w:val="24"/>
          <w:szCs w:val="24"/>
        </w:rPr>
        <w:t>: Professor Young’s response ignores the point</w:t>
      </w:r>
      <w:r w:rsidR="008D6906" w:rsidRPr="00063035">
        <w:rPr>
          <w:rFonts w:ascii="Times New Roman" w:hAnsi="Times New Roman" w:cs="Times New Roman"/>
          <w:sz w:val="24"/>
          <w:szCs w:val="24"/>
        </w:rPr>
        <w:t xml:space="preserve"> that Pioneer is making about persistence of millionaires</w:t>
      </w:r>
      <w:r w:rsidR="0055225A" w:rsidRPr="00063035">
        <w:rPr>
          <w:rFonts w:ascii="Times New Roman" w:hAnsi="Times New Roman" w:cs="Times New Roman"/>
          <w:sz w:val="24"/>
          <w:szCs w:val="24"/>
        </w:rPr>
        <w:t xml:space="preserve">, but in doing so he acknowledges that persistent millionaires are more likely to make their destination a lower-tax state. </w:t>
      </w:r>
      <w:r w:rsidR="007B6C91" w:rsidRPr="00063035">
        <w:rPr>
          <w:rFonts w:ascii="Times New Roman" w:hAnsi="Times New Roman" w:cs="Times New Roman"/>
          <w:sz w:val="24"/>
          <w:szCs w:val="24"/>
        </w:rPr>
        <w:t>In a</w:t>
      </w:r>
      <w:r w:rsidR="0052628F" w:rsidRPr="00063035">
        <w:rPr>
          <w:rFonts w:ascii="Times New Roman" w:hAnsi="Times New Roman" w:cs="Times New Roman"/>
          <w:sz w:val="24"/>
          <w:szCs w:val="24"/>
        </w:rPr>
        <w:t xml:space="preserve"> 2016 journal article </w:t>
      </w:r>
      <w:r w:rsidR="007B6C91" w:rsidRPr="00063035">
        <w:rPr>
          <w:rFonts w:ascii="Times New Roman" w:hAnsi="Times New Roman" w:cs="Times New Roman"/>
          <w:sz w:val="24"/>
          <w:szCs w:val="24"/>
        </w:rPr>
        <w:t xml:space="preserve">he </w:t>
      </w:r>
      <w:r w:rsidR="0052628F" w:rsidRPr="00063035">
        <w:rPr>
          <w:rFonts w:ascii="Times New Roman" w:hAnsi="Times New Roman" w:cs="Times New Roman"/>
          <w:sz w:val="24"/>
          <w:szCs w:val="24"/>
        </w:rPr>
        <w:t xml:space="preserve">reported that taxpayers who earned $1 million or more once in a </w:t>
      </w:r>
      <w:r w:rsidR="007B6C91" w:rsidRPr="00063035">
        <w:rPr>
          <w:rFonts w:ascii="Times New Roman" w:hAnsi="Times New Roman" w:cs="Times New Roman"/>
          <w:sz w:val="24"/>
          <w:szCs w:val="24"/>
        </w:rPr>
        <w:t>13-</w:t>
      </w:r>
      <w:r w:rsidR="0052628F" w:rsidRPr="00063035">
        <w:rPr>
          <w:rFonts w:ascii="Times New Roman" w:hAnsi="Times New Roman" w:cs="Times New Roman"/>
          <w:sz w:val="24"/>
          <w:szCs w:val="24"/>
        </w:rPr>
        <w:t xml:space="preserve">year period had a </w:t>
      </w:r>
      <w:r w:rsidR="0052628F" w:rsidRPr="00063035">
        <w:rPr>
          <w:rFonts w:ascii="Times New Roman" w:hAnsi="Times New Roman" w:cs="Times New Roman"/>
          <w:sz w:val="24"/>
          <w:szCs w:val="24"/>
        </w:rPr>
        <w:lastRenderedPageBreak/>
        <w:t xml:space="preserve">migration rate of </w:t>
      </w:r>
      <w:r w:rsidR="003A4EE2" w:rsidRPr="00063035">
        <w:rPr>
          <w:rFonts w:ascii="Times New Roman" w:hAnsi="Times New Roman" w:cs="Times New Roman"/>
          <w:sz w:val="24"/>
          <w:szCs w:val="24"/>
        </w:rPr>
        <w:t>3.2 percent</w:t>
      </w:r>
      <w:r w:rsidR="0052628F" w:rsidRPr="00063035">
        <w:rPr>
          <w:rFonts w:ascii="Times New Roman" w:hAnsi="Times New Roman" w:cs="Times New Roman"/>
          <w:sz w:val="24"/>
          <w:szCs w:val="24"/>
        </w:rPr>
        <w:t xml:space="preserve">, those who did so </w:t>
      </w:r>
      <w:r w:rsidR="007B6C91" w:rsidRPr="00063035">
        <w:rPr>
          <w:rFonts w:ascii="Times New Roman" w:hAnsi="Times New Roman" w:cs="Times New Roman"/>
          <w:sz w:val="24"/>
          <w:szCs w:val="24"/>
        </w:rPr>
        <w:t>two-to-three</w:t>
      </w:r>
      <w:r w:rsidR="0052628F" w:rsidRPr="00063035">
        <w:rPr>
          <w:rFonts w:ascii="Times New Roman" w:hAnsi="Times New Roman" w:cs="Times New Roman"/>
          <w:sz w:val="24"/>
          <w:szCs w:val="24"/>
        </w:rPr>
        <w:t xml:space="preserve"> </w:t>
      </w:r>
      <w:r w:rsidR="003A4EE2" w:rsidRPr="00063035">
        <w:rPr>
          <w:rFonts w:ascii="Times New Roman" w:hAnsi="Times New Roman" w:cs="Times New Roman"/>
          <w:sz w:val="24"/>
          <w:szCs w:val="24"/>
        </w:rPr>
        <w:t>times had</w:t>
      </w:r>
      <w:r w:rsidR="0052628F" w:rsidRPr="00063035">
        <w:rPr>
          <w:rFonts w:ascii="Times New Roman" w:hAnsi="Times New Roman" w:cs="Times New Roman"/>
          <w:sz w:val="24"/>
          <w:szCs w:val="24"/>
        </w:rPr>
        <w:t xml:space="preserve"> a migration rate of </w:t>
      </w:r>
      <w:r w:rsidR="003A4EE2" w:rsidRPr="00063035">
        <w:rPr>
          <w:rFonts w:ascii="Times New Roman" w:hAnsi="Times New Roman" w:cs="Times New Roman"/>
          <w:sz w:val="24"/>
          <w:szCs w:val="24"/>
        </w:rPr>
        <w:t>3.1 percent</w:t>
      </w:r>
      <w:r w:rsidR="0052628F" w:rsidRPr="00063035">
        <w:rPr>
          <w:rFonts w:ascii="Times New Roman" w:hAnsi="Times New Roman" w:cs="Times New Roman"/>
          <w:sz w:val="24"/>
          <w:szCs w:val="24"/>
        </w:rPr>
        <w:t xml:space="preserve">; </w:t>
      </w:r>
      <w:r w:rsidR="007B6C91" w:rsidRPr="00063035">
        <w:rPr>
          <w:rFonts w:ascii="Times New Roman" w:hAnsi="Times New Roman" w:cs="Times New Roman"/>
          <w:sz w:val="24"/>
          <w:szCs w:val="24"/>
        </w:rPr>
        <w:t xml:space="preserve">four-to-seven </w:t>
      </w:r>
      <w:r w:rsidR="0052628F" w:rsidRPr="00063035">
        <w:rPr>
          <w:rFonts w:ascii="Times New Roman" w:hAnsi="Times New Roman" w:cs="Times New Roman"/>
          <w:sz w:val="24"/>
          <w:szCs w:val="24"/>
        </w:rPr>
        <w:t>times</w:t>
      </w:r>
      <w:r w:rsidR="007B6C91" w:rsidRPr="00063035">
        <w:rPr>
          <w:rFonts w:ascii="Times New Roman" w:hAnsi="Times New Roman" w:cs="Times New Roman"/>
          <w:sz w:val="24"/>
          <w:szCs w:val="24"/>
        </w:rPr>
        <w:t xml:space="preserve"> was</w:t>
      </w:r>
      <w:r w:rsidR="0052628F" w:rsidRPr="00063035">
        <w:rPr>
          <w:rFonts w:ascii="Times New Roman" w:hAnsi="Times New Roman" w:cs="Times New Roman"/>
          <w:sz w:val="24"/>
          <w:szCs w:val="24"/>
        </w:rPr>
        <w:t xml:space="preserve"> </w:t>
      </w:r>
      <w:r w:rsidR="003A4EE2" w:rsidRPr="00063035">
        <w:rPr>
          <w:rFonts w:ascii="Times New Roman" w:hAnsi="Times New Roman" w:cs="Times New Roman"/>
          <w:sz w:val="24"/>
          <w:szCs w:val="24"/>
        </w:rPr>
        <w:t>2.6 percent</w:t>
      </w:r>
      <w:r w:rsidR="007B6C91" w:rsidRPr="00063035">
        <w:rPr>
          <w:rFonts w:ascii="Times New Roman" w:hAnsi="Times New Roman" w:cs="Times New Roman"/>
          <w:sz w:val="24"/>
          <w:szCs w:val="24"/>
        </w:rPr>
        <w:t xml:space="preserve"> and eight or more</w:t>
      </w:r>
      <w:r w:rsidR="0052628F" w:rsidRPr="00063035">
        <w:rPr>
          <w:rFonts w:ascii="Times New Roman" w:hAnsi="Times New Roman" w:cs="Times New Roman"/>
          <w:sz w:val="24"/>
          <w:szCs w:val="24"/>
        </w:rPr>
        <w:t xml:space="preserve"> </w:t>
      </w:r>
      <w:r w:rsidR="003A4EE2" w:rsidRPr="00063035">
        <w:rPr>
          <w:rFonts w:ascii="Times New Roman" w:hAnsi="Times New Roman" w:cs="Times New Roman"/>
          <w:sz w:val="24"/>
          <w:szCs w:val="24"/>
        </w:rPr>
        <w:t xml:space="preserve">times 1.9 percent. </w:t>
      </w:r>
      <w:r w:rsidR="0055225A" w:rsidRPr="00063035">
        <w:rPr>
          <w:rFonts w:ascii="Times New Roman" w:hAnsi="Times New Roman" w:cs="Times New Roman"/>
          <w:sz w:val="24"/>
          <w:szCs w:val="24"/>
        </w:rPr>
        <w:t>The most</w:t>
      </w:r>
      <w:r w:rsidR="007B6C91" w:rsidRPr="00063035">
        <w:rPr>
          <w:rFonts w:ascii="Times New Roman" w:hAnsi="Times New Roman" w:cs="Times New Roman"/>
          <w:sz w:val="24"/>
          <w:szCs w:val="24"/>
        </w:rPr>
        <w:t xml:space="preserve"> </w:t>
      </w:r>
      <w:r w:rsidR="0055225A" w:rsidRPr="00063035">
        <w:rPr>
          <w:rFonts w:ascii="Times New Roman" w:hAnsi="Times New Roman" w:cs="Times New Roman"/>
          <w:sz w:val="24"/>
          <w:szCs w:val="24"/>
        </w:rPr>
        <w:t>widely cited finding of Professor Young’s research is that</w:t>
      </w:r>
      <w:r w:rsidR="007B6C91" w:rsidRPr="00063035">
        <w:rPr>
          <w:rFonts w:ascii="Times New Roman" w:hAnsi="Times New Roman" w:cs="Times New Roman"/>
          <w:sz w:val="24"/>
          <w:szCs w:val="24"/>
        </w:rPr>
        <w:t>,</w:t>
      </w:r>
      <w:r w:rsidR="0055225A" w:rsidRPr="00063035">
        <w:rPr>
          <w:rFonts w:ascii="Times New Roman" w:hAnsi="Times New Roman" w:cs="Times New Roman"/>
          <w:sz w:val="24"/>
          <w:szCs w:val="24"/>
        </w:rPr>
        <w:t xml:space="preserve"> </w:t>
      </w:r>
      <w:r w:rsidR="003A4EE2" w:rsidRPr="00063035">
        <w:rPr>
          <w:rFonts w:ascii="Times New Roman" w:hAnsi="Times New Roman" w:cs="Times New Roman"/>
          <w:sz w:val="24"/>
          <w:szCs w:val="24"/>
        </w:rPr>
        <w:t xml:space="preserve">overall, </w:t>
      </w:r>
      <w:r w:rsidR="0055225A" w:rsidRPr="00063035">
        <w:rPr>
          <w:rFonts w:ascii="Times New Roman" w:hAnsi="Times New Roman" w:cs="Times New Roman"/>
          <w:sz w:val="24"/>
          <w:szCs w:val="24"/>
        </w:rPr>
        <w:t xml:space="preserve">only </w:t>
      </w:r>
      <w:r w:rsidR="008D6906" w:rsidRPr="00063035">
        <w:rPr>
          <w:rFonts w:ascii="Times New Roman" w:hAnsi="Times New Roman" w:cs="Times New Roman"/>
          <w:sz w:val="24"/>
          <w:szCs w:val="24"/>
        </w:rPr>
        <w:t>2.4 percent of</w:t>
      </w:r>
      <w:r w:rsidR="0055225A" w:rsidRPr="00063035">
        <w:rPr>
          <w:rFonts w:ascii="Times New Roman" w:hAnsi="Times New Roman" w:cs="Times New Roman"/>
          <w:sz w:val="24"/>
          <w:szCs w:val="24"/>
        </w:rPr>
        <w:t xml:space="preserve"> mi</w:t>
      </w:r>
      <w:r w:rsidR="003A4EE2" w:rsidRPr="00063035">
        <w:rPr>
          <w:rFonts w:ascii="Times New Roman" w:hAnsi="Times New Roman" w:cs="Times New Roman"/>
          <w:sz w:val="24"/>
          <w:szCs w:val="24"/>
        </w:rPr>
        <w:t>llionaires relocate each year; i.e., those who earned $1 million or more in the year before relocating.</w:t>
      </w:r>
      <w:r w:rsidR="0055225A" w:rsidRPr="00063035">
        <w:rPr>
          <w:rFonts w:ascii="Times New Roman" w:hAnsi="Times New Roman" w:cs="Times New Roman"/>
          <w:sz w:val="24"/>
          <w:szCs w:val="24"/>
        </w:rPr>
        <w:t xml:space="preserve"> </w:t>
      </w:r>
      <w:r w:rsidR="003C48B8" w:rsidRPr="00063035">
        <w:rPr>
          <w:rFonts w:ascii="Times New Roman" w:hAnsi="Times New Roman" w:cs="Times New Roman"/>
          <w:sz w:val="24"/>
          <w:szCs w:val="24"/>
        </w:rPr>
        <w:t xml:space="preserve">This figure has been </w:t>
      </w:r>
      <w:r w:rsidR="007B6C91" w:rsidRPr="00063035">
        <w:rPr>
          <w:rFonts w:ascii="Times New Roman" w:hAnsi="Times New Roman" w:cs="Times New Roman"/>
          <w:sz w:val="24"/>
          <w:szCs w:val="24"/>
        </w:rPr>
        <w:t>cited far and wide</w:t>
      </w:r>
      <w:r w:rsidR="003C48B8" w:rsidRPr="00063035">
        <w:rPr>
          <w:rFonts w:ascii="Times New Roman" w:hAnsi="Times New Roman" w:cs="Times New Roman"/>
          <w:sz w:val="24"/>
          <w:szCs w:val="24"/>
        </w:rPr>
        <w:t xml:space="preserve"> in newspaper and magazine articles. </w:t>
      </w:r>
      <w:r w:rsidR="001E5A80" w:rsidRPr="00063035">
        <w:rPr>
          <w:rFonts w:ascii="Times New Roman" w:hAnsi="Times New Roman" w:cs="Times New Roman"/>
          <w:sz w:val="24"/>
          <w:szCs w:val="24"/>
        </w:rPr>
        <w:t xml:space="preserve">In his 2016 </w:t>
      </w:r>
      <w:r w:rsidR="001E5A80" w:rsidRPr="00063035">
        <w:rPr>
          <w:rFonts w:ascii="Times New Roman" w:hAnsi="Times New Roman" w:cs="Times New Roman"/>
          <w:i/>
          <w:sz w:val="24"/>
          <w:szCs w:val="24"/>
        </w:rPr>
        <w:t>American Sociological Review</w:t>
      </w:r>
      <w:r w:rsidR="001E5A80" w:rsidRPr="00063035">
        <w:rPr>
          <w:rFonts w:ascii="Times New Roman" w:hAnsi="Times New Roman" w:cs="Times New Roman"/>
          <w:sz w:val="24"/>
          <w:szCs w:val="24"/>
        </w:rPr>
        <w:t xml:space="preserve"> article, </w:t>
      </w:r>
      <w:r w:rsidR="003B6D02" w:rsidRPr="00063035">
        <w:rPr>
          <w:rFonts w:ascii="Times New Roman" w:hAnsi="Times New Roman" w:cs="Times New Roman"/>
          <w:sz w:val="24"/>
          <w:szCs w:val="24"/>
        </w:rPr>
        <w:t>Professor Young writes “In any given year, roughly 500,000 households file tax returns reporting $1 million or more (constant 2005 dollars). From this population, only about 12,000 millionaires change their state in a given year. The annual millionaire migration rate is 2.4 percent</w:t>
      </w:r>
      <w:r w:rsidR="001E5A80" w:rsidRPr="00063035">
        <w:rPr>
          <w:rFonts w:ascii="Times New Roman" w:hAnsi="Times New Roman" w:cs="Times New Roman"/>
          <w:sz w:val="24"/>
          <w:szCs w:val="24"/>
        </w:rPr>
        <w:t>.”</w:t>
      </w:r>
      <w:r w:rsidR="001E5A80" w:rsidRPr="00063035">
        <w:rPr>
          <w:rStyle w:val="EndnoteReference"/>
          <w:rFonts w:ascii="Times New Roman" w:hAnsi="Times New Roman" w:cs="Times New Roman"/>
          <w:sz w:val="24"/>
          <w:szCs w:val="24"/>
        </w:rPr>
        <w:endnoteReference w:id="1"/>
      </w:r>
      <w:r w:rsidR="001E5A80" w:rsidRPr="00063035">
        <w:rPr>
          <w:rFonts w:ascii="Times New Roman" w:hAnsi="Times New Roman" w:cs="Times New Roman"/>
          <w:sz w:val="24"/>
          <w:szCs w:val="24"/>
        </w:rPr>
        <w:t xml:space="preserve"> </w:t>
      </w:r>
    </w:p>
    <w:p w:rsidR="003A4EE2" w:rsidRPr="00063035" w:rsidRDefault="000F3BC7" w:rsidP="003A12E1">
      <w:pPr>
        <w:spacing w:line="240" w:lineRule="auto"/>
        <w:rPr>
          <w:rFonts w:ascii="Times New Roman" w:hAnsi="Times New Roman" w:cs="Times New Roman"/>
          <w:sz w:val="24"/>
          <w:szCs w:val="24"/>
        </w:rPr>
      </w:pPr>
      <w:r w:rsidRPr="00063035">
        <w:rPr>
          <w:rFonts w:ascii="Times New Roman" w:hAnsi="Times New Roman" w:cs="Times New Roman"/>
          <w:sz w:val="24"/>
          <w:szCs w:val="24"/>
        </w:rPr>
        <w:t>In 2015</w:t>
      </w:r>
      <w:r w:rsidR="009013C3" w:rsidRPr="00063035">
        <w:rPr>
          <w:rFonts w:ascii="Times New Roman" w:hAnsi="Times New Roman" w:cs="Times New Roman"/>
          <w:sz w:val="24"/>
          <w:szCs w:val="24"/>
        </w:rPr>
        <w:t>, the U.S. had</w:t>
      </w:r>
      <w:r w:rsidRPr="00063035">
        <w:rPr>
          <w:rFonts w:ascii="Times New Roman" w:hAnsi="Times New Roman" w:cs="Times New Roman"/>
          <w:sz w:val="24"/>
          <w:szCs w:val="24"/>
        </w:rPr>
        <w:t xml:space="preserve"> 438,370 taxpayers with incomes of $1 mill</w:t>
      </w:r>
      <w:r w:rsidR="009013C3" w:rsidRPr="00063035">
        <w:rPr>
          <w:rFonts w:ascii="Times New Roman" w:hAnsi="Times New Roman" w:cs="Times New Roman"/>
          <w:sz w:val="24"/>
          <w:szCs w:val="24"/>
        </w:rPr>
        <w:t>ion or more, according to IRS data. By Professor Young</w:t>
      </w:r>
      <w:r w:rsidRPr="00063035">
        <w:rPr>
          <w:rFonts w:ascii="Times New Roman" w:hAnsi="Times New Roman" w:cs="Times New Roman"/>
          <w:sz w:val="24"/>
          <w:szCs w:val="24"/>
        </w:rPr>
        <w:t xml:space="preserve">’s estimate, 2.4 percent of these would be 10,520 millionaire migrants in 2015-16. </w:t>
      </w:r>
      <w:r w:rsidR="0055225A" w:rsidRPr="00063035">
        <w:rPr>
          <w:rFonts w:ascii="Times New Roman" w:hAnsi="Times New Roman" w:cs="Times New Roman"/>
          <w:sz w:val="24"/>
          <w:szCs w:val="24"/>
        </w:rPr>
        <w:t xml:space="preserve">The problem with </w:t>
      </w:r>
      <w:r w:rsidR="009013C3" w:rsidRPr="00063035">
        <w:rPr>
          <w:rFonts w:ascii="Times New Roman" w:hAnsi="Times New Roman" w:cs="Times New Roman"/>
          <w:sz w:val="24"/>
          <w:szCs w:val="24"/>
        </w:rPr>
        <w:t xml:space="preserve">this estimate is made clear by </w:t>
      </w:r>
      <w:r w:rsidR="001E5A80" w:rsidRPr="00063035">
        <w:rPr>
          <w:rFonts w:ascii="Times New Roman" w:hAnsi="Times New Roman" w:cs="Times New Roman"/>
          <w:sz w:val="24"/>
          <w:szCs w:val="24"/>
        </w:rPr>
        <w:t xml:space="preserve">the </w:t>
      </w:r>
      <w:r w:rsidR="003B6D02" w:rsidRPr="00063035">
        <w:rPr>
          <w:rFonts w:ascii="Times New Roman" w:hAnsi="Times New Roman" w:cs="Times New Roman"/>
          <w:sz w:val="24"/>
          <w:szCs w:val="24"/>
        </w:rPr>
        <w:t>“persistence of millionaires</w:t>
      </w:r>
      <w:r w:rsidR="001E5A80" w:rsidRPr="00063035">
        <w:rPr>
          <w:rFonts w:ascii="Times New Roman" w:hAnsi="Times New Roman" w:cs="Times New Roman"/>
          <w:sz w:val="24"/>
          <w:szCs w:val="24"/>
        </w:rPr>
        <w:t>” data</w:t>
      </w:r>
      <w:r w:rsidRPr="00063035">
        <w:rPr>
          <w:rFonts w:ascii="Times New Roman" w:hAnsi="Times New Roman" w:cs="Times New Roman"/>
          <w:sz w:val="24"/>
          <w:szCs w:val="24"/>
        </w:rPr>
        <w:t xml:space="preserve"> indicating that high net worth individuals do not earn $1 million or more very often</w:t>
      </w:r>
      <w:r w:rsidR="00DC0C97" w:rsidRPr="00063035">
        <w:rPr>
          <w:rFonts w:ascii="Times New Roman" w:hAnsi="Times New Roman" w:cs="Times New Roman"/>
          <w:sz w:val="24"/>
          <w:szCs w:val="24"/>
        </w:rPr>
        <w:t>, indicating that far more than 10,520 millionaires are likely to be relocating each year.</w:t>
      </w:r>
      <w:r w:rsidR="001E5A80" w:rsidRPr="00063035">
        <w:rPr>
          <w:rFonts w:ascii="Times New Roman" w:hAnsi="Times New Roman" w:cs="Times New Roman"/>
          <w:sz w:val="24"/>
          <w:szCs w:val="24"/>
        </w:rPr>
        <w:t xml:space="preserve"> </w:t>
      </w:r>
      <w:r w:rsidR="009013C3" w:rsidRPr="00063035">
        <w:rPr>
          <w:rFonts w:ascii="Times New Roman" w:hAnsi="Times New Roman" w:cs="Times New Roman"/>
          <w:sz w:val="24"/>
          <w:szCs w:val="24"/>
        </w:rPr>
        <w:t>To demonstrate the significance of th</w:t>
      </w:r>
      <w:r w:rsidR="003A4EE2" w:rsidRPr="00063035">
        <w:rPr>
          <w:rFonts w:ascii="Times New Roman" w:hAnsi="Times New Roman" w:cs="Times New Roman"/>
          <w:sz w:val="24"/>
          <w:szCs w:val="24"/>
        </w:rPr>
        <w:t>e persistence of millionaires</w:t>
      </w:r>
      <w:r w:rsidR="009013C3" w:rsidRPr="00063035">
        <w:rPr>
          <w:rFonts w:ascii="Times New Roman" w:hAnsi="Times New Roman" w:cs="Times New Roman"/>
          <w:sz w:val="24"/>
          <w:szCs w:val="24"/>
        </w:rPr>
        <w:t xml:space="preserve"> data consider that </w:t>
      </w:r>
      <w:r w:rsidR="001E5A80" w:rsidRPr="00063035">
        <w:rPr>
          <w:rFonts w:ascii="Times New Roman" w:hAnsi="Times New Roman" w:cs="Times New Roman"/>
          <w:sz w:val="24"/>
          <w:szCs w:val="24"/>
        </w:rPr>
        <w:t xml:space="preserve">if 2.4 percent of </w:t>
      </w:r>
      <w:r w:rsidRPr="00063035">
        <w:rPr>
          <w:rFonts w:ascii="Times New Roman" w:hAnsi="Times New Roman" w:cs="Times New Roman"/>
          <w:sz w:val="24"/>
          <w:szCs w:val="24"/>
        </w:rPr>
        <w:t xml:space="preserve">the 4.8 million </w:t>
      </w:r>
      <w:r w:rsidR="001E5A80" w:rsidRPr="00063035">
        <w:rPr>
          <w:rFonts w:ascii="Times New Roman" w:hAnsi="Times New Roman" w:cs="Times New Roman"/>
          <w:sz w:val="24"/>
          <w:szCs w:val="24"/>
        </w:rPr>
        <w:t xml:space="preserve">households </w:t>
      </w:r>
      <w:r w:rsidR="009013C3" w:rsidRPr="00063035">
        <w:rPr>
          <w:rFonts w:ascii="Times New Roman" w:hAnsi="Times New Roman" w:cs="Times New Roman"/>
          <w:sz w:val="24"/>
          <w:szCs w:val="24"/>
        </w:rPr>
        <w:t xml:space="preserve">in the U.S. </w:t>
      </w:r>
      <w:r w:rsidR="001E5A80" w:rsidRPr="00063035">
        <w:rPr>
          <w:rFonts w:ascii="Times New Roman" w:hAnsi="Times New Roman" w:cs="Times New Roman"/>
          <w:sz w:val="24"/>
          <w:szCs w:val="24"/>
        </w:rPr>
        <w:t>with net worth of $2.5 million or more</w:t>
      </w:r>
      <w:r w:rsidR="009013C3" w:rsidRPr="00063035">
        <w:rPr>
          <w:rFonts w:ascii="Times New Roman" w:hAnsi="Times New Roman" w:cs="Times New Roman"/>
          <w:sz w:val="24"/>
          <w:szCs w:val="24"/>
        </w:rPr>
        <w:t xml:space="preserve"> in 2016 (according to Federal Reserve Board data) relocated to another state</w:t>
      </w:r>
      <w:r w:rsidRPr="00063035">
        <w:rPr>
          <w:rFonts w:ascii="Times New Roman" w:hAnsi="Times New Roman" w:cs="Times New Roman"/>
          <w:sz w:val="24"/>
          <w:szCs w:val="24"/>
        </w:rPr>
        <w:t xml:space="preserve">, the total migration would be 115,200 per year, </w:t>
      </w:r>
      <w:r w:rsidR="007B6C91" w:rsidRPr="00063035">
        <w:rPr>
          <w:rFonts w:ascii="Times New Roman" w:hAnsi="Times New Roman" w:cs="Times New Roman"/>
          <w:sz w:val="24"/>
          <w:szCs w:val="24"/>
        </w:rPr>
        <w:t>10</w:t>
      </w:r>
      <w:r w:rsidRPr="00063035">
        <w:rPr>
          <w:rFonts w:ascii="Times New Roman" w:hAnsi="Times New Roman" w:cs="Times New Roman"/>
          <w:sz w:val="24"/>
          <w:szCs w:val="24"/>
        </w:rPr>
        <w:t xml:space="preserve"> times Professor Young’s estimate of 10,520.</w:t>
      </w:r>
      <w:r w:rsidR="009013C3" w:rsidRPr="00063035">
        <w:rPr>
          <w:rFonts w:ascii="Times New Roman" w:hAnsi="Times New Roman" w:cs="Times New Roman"/>
          <w:sz w:val="24"/>
          <w:szCs w:val="24"/>
        </w:rPr>
        <w:t xml:space="preserve"> </w:t>
      </w:r>
    </w:p>
    <w:p w:rsidR="003A12E1" w:rsidRDefault="009013C3" w:rsidP="003A12E1">
      <w:pPr>
        <w:spacing w:after="300" w:line="240" w:lineRule="auto"/>
        <w:rPr>
          <w:rFonts w:ascii="Times New Roman" w:hAnsi="Times New Roman" w:cs="Times New Roman"/>
          <w:sz w:val="24"/>
          <w:szCs w:val="24"/>
        </w:rPr>
      </w:pPr>
      <w:r w:rsidRPr="00063035">
        <w:rPr>
          <w:rFonts w:ascii="Times New Roman" w:hAnsi="Times New Roman" w:cs="Times New Roman"/>
          <w:sz w:val="24"/>
          <w:szCs w:val="24"/>
        </w:rPr>
        <w:t xml:space="preserve">Professor Young misses the point by responding that </w:t>
      </w:r>
      <w:r w:rsidR="003A4EE2" w:rsidRPr="00063035">
        <w:rPr>
          <w:rFonts w:ascii="Times New Roman" w:hAnsi="Times New Roman" w:cs="Times New Roman"/>
          <w:sz w:val="24"/>
          <w:szCs w:val="24"/>
        </w:rPr>
        <w:t>less than</w:t>
      </w:r>
      <w:r w:rsidRPr="00063035">
        <w:rPr>
          <w:rFonts w:ascii="Times New Roman" w:hAnsi="Times New Roman" w:cs="Times New Roman"/>
          <w:sz w:val="24"/>
          <w:szCs w:val="24"/>
        </w:rPr>
        <w:t xml:space="preserve"> 2.4 percent of persistent millionaires relocate each year, </w:t>
      </w:r>
      <w:r w:rsidR="00DC0C97" w:rsidRPr="00063035">
        <w:rPr>
          <w:rFonts w:ascii="Times New Roman" w:hAnsi="Times New Roman" w:cs="Times New Roman"/>
          <w:sz w:val="24"/>
          <w:szCs w:val="24"/>
        </w:rPr>
        <w:t>ignoring</w:t>
      </w:r>
      <w:r w:rsidRPr="00063035">
        <w:rPr>
          <w:rFonts w:ascii="Times New Roman" w:hAnsi="Times New Roman" w:cs="Times New Roman"/>
          <w:sz w:val="24"/>
          <w:szCs w:val="24"/>
        </w:rPr>
        <w:t xml:space="preserve"> the significance of “persistence of millionaires”</w:t>
      </w:r>
      <w:r w:rsidR="008D6906" w:rsidRPr="00063035">
        <w:rPr>
          <w:rFonts w:ascii="Times New Roman" w:hAnsi="Times New Roman" w:cs="Times New Roman"/>
          <w:sz w:val="24"/>
          <w:szCs w:val="24"/>
        </w:rPr>
        <w:t xml:space="preserve"> data</w:t>
      </w:r>
      <w:r w:rsidR="007B6C91" w:rsidRPr="00063035">
        <w:rPr>
          <w:rFonts w:ascii="Times New Roman" w:hAnsi="Times New Roman" w:cs="Times New Roman"/>
          <w:sz w:val="24"/>
          <w:szCs w:val="24"/>
        </w:rPr>
        <w:t>,</w:t>
      </w:r>
      <w:r w:rsidR="008D6906" w:rsidRPr="00063035">
        <w:rPr>
          <w:rFonts w:ascii="Times New Roman" w:hAnsi="Times New Roman" w:cs="Times New Roman"/>
          <w:sz w:val="24"/>
          <w:szCs w:val="24"/>
        </w:rPr>
        <w:t xml:space="preserve"> which is </w:t>
      </w:r>
      <w:r w:rsidR="00DC0C97" w:rsidRPr="00063035">
        <w:rPr>
          <w:rFonts w:ascii="Times New Roman" w:hAnsi="Times New Roman" w:cs="Times New Roman"/>
          <w:sz w:val="24"/>
          <w:szCs w:val="24"/>
        </w:rPr>
        <w:t xml:space="preserve">that </w:t>
      </w:r>
      <w:r w:rsidRPr="00063035">
        <w:rPr>
          <w:rFonts w:ascii="Times New Roman" w:hAnsi="Times New Roman" w:cs="Times New Roman"/>
          <w:sz w:val="24"/>
          <w:szCs w:val="24"/>
        </w:rPr>
        <w:t>2.4 percent of a much</w:t>
      </w:r>
      <w:r w:rsidR="00DC0C97" w:rsidRPr="00063035">
        <w:rPr>
          <w:rFonts w:ascii="Times New Roman" w:hAnsi="Times New Roman" w:cs="Times New Roman"/>
          <w:sz w:val="24"/>
          <w:szCs w:val="24"/>
        </w:rPr>
        <w:t xml:space="preserve"> larger number move each year. </w:t>
      </w:r>
      <w:r w:rsidR="007B6C91" w:rsidRPr="00063035">
        <w:rPr>
          <w:rFonts w:ascii="Times New Roman" w:hAnsi="Times New Roman" w:cs="Times New Roman"/>
          <w:sz w:val="24"/>
          <w:szCs w:val="24"/>
        </w:rPr>
        <w:t>He</w:t>
      </w:r>
      <w:r w:rsidR="003A4EE2" w:rsidRPr="00063035">
        <w:rPr>
          <w:rFonts w:ascii="Times New Roman" w:hAnsi="Times New Roman" w:cs="Times New Roman"/>
          <w:sz w:val="24"/>
          <w:szCs w:val="24"/>
        </w:rPr>
        <w:t xml:space="preserve"> does not report how many millionaire migrants this amounts to.  </w:t>
      </w:r>
      <w:r w:rsidRPr="00063035">
        <w:rPr>
          <w:rFonts w:ascii="Times New Roman" w:hAnsi="Times New Roman" w:cs="Times New Roman"/>
          <w:sz w:val="24"/>
          <w:szCs w:val="24"/>
        </w:rPr>
        <w:t xml:space="preserve">According to Federal Reserve Data, </w:t>
      </w:r>
      <w:r w:rsidR="00DC0C97" w:rsidRPr="00063035">
        <w:rPr>
          <w:rFonts w:ascii="Times New Roman" w:hAnsi="Times New Roman" w:cs="Times New Roman"/>
          <w:sz w:val="24"/>
          <w:szCs w:val="24"/>
        </w:rPr>
        <w:t xml:space="preserve">the </w:t>
      </w:r>
      <w:r w:rsidR="007B6C91" w:rsidRPr="00063035">
        <w:rPr>
          <w:rFonts w:ascii="Times New Roman" w:hAnsi="Times New Roman" w:cs="Times New Roman"/>
          <w:sz w:val="24"/>
          <w:szCs w:val="24"/>
        </w:rPr>
        <w:t xml:space="preserve">total </w:t>
      </w:r>
      <w:r w:rsidR="00DC0C97" w:rsidRPr="00063035">
        <w:rPr>
          <w:rFonts w:ascii="Times New Roman" w:hAnsi="Times New Roman" w:cs="Times New Roman"/>
          <w:sz w:val="24"/>
          <w:szCs w:val="24"/>
        </w:rPr>
        <w:t>net worth of 115,200 households in the U.S. with net worth of $2.5 million or more in 2016 is $501.6 billion.</w:t>
      </w:r>
      <w:r w:rsidR="008D6906" w:rsidRPr="00063035">
        <w:rPr>
          <w:rFonts w:ascii="Times New Roman" w:hAnsi="Times New Roman" w:cs="Times New Roman"/>
          <w:sz w:val="24"/>
          <w:szCs w:val="24"/>
        </w:rPr>
        <w:t xml:space="preserve"> In other words, </w:t>
      </w:r>
      <w:r w:rsidR="0052628F" w:rsidRPr="00063035">
        <w:rPr>
          <w:rFonts w:ascii="Times New Roman" w:hAnsi="Times New Roman" w:cs="Times New Roman"/>
          <w:sz w:val="24"/>
          <w:szCs w:val="24"/>
        </w:rPr>
        <w:t>i</w:t>
      </w:r>
      <w:r w:rsidR="008D6906" w:rsidRPr="00063035">
        <w:rPr>
          <w:rFonts w:ascii="Times New Roman" w:hAnsi="Times New Roman" w:cs="Times New Roman"/>
          <w:sz w:val="24"/>
          <w:szCs w:val="24"/>
        </w:rPr>
        <w:t xml:space="preserve">f Professor Young is reporting data about less than </w:t>
      </w:r>
      <w:r w:rsidR="007B6C91" w:rsidRPr="00063035">
        <w:rPr>
          <w:rFonts w:ascii="Times New Roman" w:hAnsi="Times New Roman" w:cs="Times New Roman"/>
          <w:sz w:val="24"/>
          <w:szCs w:val="24"/>
        </w:rPr>
        <w:t>10</w:t>
      </w:r>
      <w:r w:rsidR="008D6906" w:rsidRPr="00063035">
        <w:rPr>
          <w:rFonts w:ascii="Times New Roman" w:hAnsi="Times New Roman" w:cs="Times New Roman"/>
          <w:sz w:val="24"/>
          <w:szCs w:val="24"/>
        </w:rPr>
        <w:t xml:space="preserve"> percent of </w:t>
      </w:r>
      <w:r w:rsidR="0052628F" w:rsidRPr="00063035">
        <w:rPr>
          <w:rFonts w:ascii="Times New Roman" w:hAnsi="Times New Roman" w:cs="Times New Roman"/>
          <w:sz w:val="24"/>
          <w:szCs w:val="24"/>
        </w:rPr>
        <w:t xml:space="preserve">actual </w:t>
      </w:r>
      <w:r w:rsidR="008D6906" w:rsidRPr="00063035">
        <w:rPr>
          <w:rFonts w:ascii="Times New Roman" w:hAnsi="Times New Roman" w:cs="Times New Roman"/>
          <w:sz w:val="24"/>
          <w:szCs w:val="24"/>
        </w:rPr>
        <w:t xml:space="preserve">millionaire migrants, his research is overlooking migration of more than </w:t>
      </w:r>
      <w:r w:rsidR="0052628F" w:rsidRPr="00063035">
        <w:rPr>
          <w:rFonts w:ascii="Times New Roman" w:hAnsi="Times New Roman" w:cs="Times New Roman"/>
          <w:sz w:val="24"/>
          <w:szCs w:val="24"/>
        </w:rPr>
        <w:t xml:space="preserve">100,000 households with </w:t>
      </w:r>
      <w:r w:rsidR="008D6906" w:rsidRPr="00063035">
        <w:rPr>
          <w:rFonts w:ascii="Times New Roman" w:hAnsi="Times New Roman" w:cs="Times New Roman"/>
          <w:sz w:val="24"/>
          <w:szCs w:val="24"/>
        </w:rPr>
        <w:t xml:space="preserve">a </w:t>
      </w:r>
      <w:r w:rsidR="0052628F" w:rsidRPr="00063035">
        <w:rPr>
          <w:rFonts w:ascii="Times New Roman" w:hAnsi="Times New Roman" w:cs="Times New Roman"/>
          <w:sz w:val="24"/>
          <w:szCs w:val="24"/>
        </w:rPr>
        <w:t>cumulative net worth of more than $450 billion</w:t>
      </w:r>
      <w:r w:rsidR="008D6906" w:rsidRPr="00063035">
        <w:rPr>
          <w:rFonts w:ascii="Times New Roman" w:hAnsi="Times New Roman" w:cs="Times New Roman"/>
          <w:sz w:val="24"/>
          <w:szCs w:val="24"/>
        </w:rPr>
        <w:t xml:space="preserve"> </w:t>
      </w:r>
      <w:r w:rsidR="003A4EE2" w:rsidRPr="00063035">
        <w:rPr>
          <w:rFonts w:ascii="Times New Roman" w:hAnsi="Times New Roman" w:cs="Times New Roman"/>
          <w:sz w:val="24"/>
          <w:szCs w:val="24"/>
        </w:rPr>
        <w:t>each</w:t>
      </w:r>
      <w:r w:rsidR="008D6906" w:rsidRPr="00063035">
        <w:rPr>
          <w:rFonts w:ascii="Times New Roman" w:hAnsi="Times New Roman" w:cs="Times New Roman"/>
          <w:sz w:val="24"/>
          <w:szCs w:val="24"/>
        </w:rPr>
        <w:t xml:space="preserve"> year. </w:t>
      </w:r>
    </w:p>
    <w:p w:rsidR="003A4EE2" w:rsidRPr="003A12E1" w:rsidRDefault="003A4EE2" w:rsidP="003A12E1">
      <w:pPr>
        <w:spacing w:after="120" w:line="240" w:lineRule="auto"/>
        <w:rPr>
          <w:rFonts w:ascii="Times New Roman" w:hAnsi="Times New Roman" w:cs="Times New Roman"/>
          <w:sz w:val="24"/>
          <w:szCs w:val="24"/>
        </w:rPr>
      </w:pPr>
      <w:r w:rsidRPr="00DC0C0F">
        <w:rPr>
          <w:rFonts w:ascii="Arial" w:hAnsi="Arial" w:cs="Arial"/>
          <w:b/>
          <w:color w:val="1F3864" w:themeColor="accent5" w:themeShade="80"/>
          <w:sz w:val="23"/>
          <w:szCs w:val="23"/>
        </w:rPr>
        <w:t>Pioneer’s Reason 3: Professor Young does not count taxpayers as being millionaire migrants unless they had filed a federal tax return with income of $1 million or more in the year before they moved, even if they changed domicile to a lower tax state to take a multi-million-dollar gain in a jurisdiction with lower taxes.</w:t>
      </w:r>
    </w:p>
    <w:p w:rsidR="003A4EE2" w:rsidRPr="00063035" w:rsidRDefault="003A4EE2" w:rsidP="00DC0C0F">
      <w:pPr>
        <w:spacing w:line="240" w:lineRule="auto"/>
        <w:rPr>
          <w:rFonts w:ascii="Times New Roman" w:hAnsi="Times New Roman" w:cs="Times New Roman"/>
          <w:sz w:val="24"/>
          <w:szCs w:val="24"/>
        </w:rPr>
      </w:pPr>
      <w:r w:rsidRPr="00063035">
        <w:rPr>
          <w:rFonts w:ascii="Times New Roman" w:hAnsi="Times New Roman" w:cs="Times New Roman"/>
          <w:sz w:val="24"/>
          <w:szCs w:val="24"/>
        </w:rPr>
        <w:t xml:space="preserve">Professor Young </w:t>
      </w:r>
      <w:r w:rsidR="0040754A" w:rsidRPr="00063035">
        <w:rPr>
          <w:rFonts w:ascii="Times New Roman" w:hAnsi="Times New Roman" w:cs="Times New Roman"/>
          <w:sz w:val="24"/>
          <w:szCs w:val="24"/>
        </w:rPr>
        <w:t xml:space="preserve">responds to Reason 3 by </w:t>
      </w:r>
      <w:r w:rsidR="007B6C91" w:rsidRPr="00063035">
        <w:rPr>
          <w:rFonts w:ascii="Times New Roman" w:hAnsi="Times New Roman" w:cs="Times New Roman"/>
          <w:sz w:val="24"/>
          <w:szCs w:val="24"/>
        </w:rPr>
        <w:t>wri</w:t>
      </w:r>
      <w:r w:rsidR="0040754A" w:rsidRPr="00063035">
        <w:rPr>
          <w:rFonts w:ascii="Times New Roman" w:hAnsi="Times New Roman" w:cs="Times New Roman"/>
          <w:sz w:val="24"/>
          <w:szCs w:val="24"/>
        </w:rPr>
        <w:t>ting, “My work has defined millionaires as those making a million dollars in the year that they moved. It is possible, however, that people can foresee when they are about to earn $1M+, and move to a low-tax state just before this happens.” He adds that most millionaires are the “working rich,” and earn most of their income is from wages and salaries.</w:t>
      </w:r>
    </w:p>
    <w:p w:rsidR="0085302E" w:rsidRPr="00063035" w:rsidRDefault="0085302E" w:rsidP="00DC0C0F">
      <w:pPr>
        <w:spacing w:after="300" w:line="240" w:lineRule="auto"/>
        <w:rPr>
          <w:rFonts w:ascii="Times New Roman" w:hAnsi="Times New Roman" w:cs="Times New Roman"/>
          <w:sz w:val="24"/>
          <w:szCs w:val="24"/>
        </w:rPr>
      </w:pPr>
      <w:r w:rsidRPr="00063035">
        <w:rPr>
          <w:rFonts w:ascii="Arial" w:hAnsi="Arial" w:cs="Arial"/>
          <w:b/>
          <w:color w:val="1F3864" w:themeColor="accent5" w:themeShade="80"/>
          <w:sz w:val="21"/>
          <w:szCs w:val="21"/>
        </w:rPr>
        <w:t>Pioneer’s comment</w:t>
      </w:r>
      <w:r w:rsidRPr="00063035">
        <w:rPr>
          <w:rFonts w:ascii="Times New Roman" w:hAnsi="Times New Roman" w:cs="Times New Roman"/>
          <w:sz w:val="24"/>
          <w:szCs w:val="24"/>
        </w:rPr>
        <w:t>: Because Professor Young’s research does not examine whether taxpayers earn more than $1 million after moving to another state, his data does not incorporate instances where high net</w:t>
      </w:r>
      <w:r w:rsidR="007B6C91" w:rsidRPr="00063035">
        <w:rPr>
          <w:rFonts w:ascii="Times New Roman" w:hAnsi="Times New Roman" w:cs="Times New Roman"/>
          <w:sz w:val="24"/>
          <w:szCs w:val="24"/>
        </w:rPr>
        <w:t>-</w:t>
      </w:r>
      <w:r w:rsidRPr="00063035">
        <w:rPr>
          <w:rFonts w:ascii="Times New Roman" w:hAnsi="Times New Roman" w:cs="Times New Roman"/>
          <w:sz w:val="24"/>
          <w:szCs w:val="24"/>
        </w:rPr>
        <w:t xml:space="preserve">worth taxpayers realize large capital gains and income distributions after moving to another state. This constitutes a significant shortcoming of his analysis. To grasp the significance of this definitional limitation, consider that it excludes 13.7 million </w:t>
      </w:r>
      <w:r w:rsidR="007B6C91" w:rsidRPr="00063035">
        <w:rPr>
          <w:rFonts w:ascii="Times New Roman" w:hAnsi="Times New Roman" w:cs="Times New Roman"/>
          <w:sz w:val="24"/>
          <w:szCs w:val="24"/>
        </w:rPr>
        <w:t xml:space="preserve">U.S. </w:t>
      </w:r>
      <w:r w:rsidRPr="00063035">
        <w:rPr>
          <w:rFonts w:ascii="Times New Roman" w:hAnsi="Times New Roman" w:cs="Times New Roman"/>
          <w:sz w:val="24"/>
          <w:szCs w:val="24"/>
        </w:rPr>
        <w:t xml:space="preserve">households with a cumulative net worth of $45.2 billion who had net worth of $1 million or more but incomes of less than $1 million in 2016, according to Federal Reserve </w:t>
      </w:r>
      <w:r w:rsidRPr="00063035">
        <w:rPr>
          <w:rFonts w:ascii="Times New Roman" w:hAnsi="Times New Roman" w:cs="Times New Roman"/>
          <w:sz w:val="24"/>
          <w:szCs w:val="24"/>
        </w:rPr>
        <w:lastRenderedPageBreak/>
        <w:t>Board estimates. Among this excluded group are 698,645 households with net worth of $10 million or more but annual income of less than $1 million in 2016. These households had an average income of $498,151 in 2016. The cumulative net worth of this group was $12.72 trillion in 2016, an average of $18.2 million per household, including $4.6 trillion in cumulative unrealized capital gains</w:t>
      </w:r>
      <w:r w:rsidR="00A3524F" w:rsidRPr="00063035">
        <w:rPr>
          <w:rFonts w:ascii="Times New Roman" w:hAnsi="Times New Roman" w:cs="Times New Roman"/>
          <w:sz w:val="24"/>
          <w:szCs w:val="24"/>
        </w:rPr>
        <w:t>,</w:t>
      </w:r>
      <w:r w:rsidRPr="00063035">
        <w:rPr>
          <w:rFonts w:ascii="Times New Roman" w:hAnsi="Times New Roman" w:cs="Times New Roman"/>
          <w:sz w:val="24"/>
          <w:szCs w:val="24"/>
        </w:rPr>
        <w:t xml:space="preserve"> an average of $6.6 million per household. If one of these taxpayers moved to a state with no capital gains tax in 2017 to realize a large capital gain or distribution and pay no state taxes on it, Professor Young would not characterize it as millionaire migration.</w:t>
      </w:r>
    </w:p>
    <w:p w:rsidR="0085302E" w:rsidRPr="00DC0C0F" w:rsidRDefault="0085302E" w:rsidP="00DC0C0F">
      <w:pPr>
        <w:spacing w:after="120" w:line="240" w:lineRule="auto"/>
        <w:rPr>
          <w:rFonts w:ascii="Arial" w:hAnsi="Arial" w:cs="Arial"/>
          <w:b/>
          <w:color w:val="1F3864" w:themeColor="accent5" w:themeShade="80"/>
          <w:sz w:val="23"/>
          <w:szCs w:val="23"/>
        </w:rPr>
      </w:pPr>
      <w:r w:rsidRPr="00DC0C0F">
        <w:rPr>
          <w:rFonts w:ascii="Arial" w:hAnsi="Arial" w:cs="Arial"/>
          <w:b/>
          <w:color w:val="1F3864" w:themeColor="accent5" w:themeShade="80"/>
          <w:sz w:val="23"/>
          <w:szCs w:val="23"/>
        </w:rPr>
        <w:t>Pioneer’s Reason 4</w:t>
      </w:r>
      <w:r w:rsidR="00A3524F" w:rsidRPr="00DC0C0F">
        <w:rPr>
          <w:rFonts w:ascii="Arial" w:hAnsi="Arial" w:cs="Arial"/>
          <w:b/>
          <w:color w:val="1F3864" w:themeColor="accent5" w:themeShade="80"/>
          <w:sz w:val="23"/>
          <w:szCs w:val="23"/>
        </w:rPr>
        <w:t>:</w:t>
      </w:r>
      <w:r w:rsidRPr="00DC0C0F">
        <w:rPr>
          <w:rFonts w:ascii="Arial" w:hAnsi="Arial" w:cs="Arial"/>
          <w:b/>
          <w:color w:val="1F3864" w:themeColor="accent5" w:themeShade="80"/>
          <w:sz w:val="23"/>
          <w:szCs w:val="23"/>
        </w:rPr>
        <w:t xml:space="preserve"> Professor Young pays too little heed to the Florida effect.</w:t>
      </w:r>
    </w:p>
    <w:p w:rsidR="0085302E" w:rsidRPr="00063035" w:rsidRDefault="0085302E" w:rsidP="00DC0C0F">
      <w:pPr>
        <w:spacing w:line="240" w:lineRule="auto"/>
        <w:rPr>
          <w:rFonts w:ascii="Times New Roman" w:hAnsi="Times New Roman" w:cs="Times New Roman"/>
          <w:sz w:val="24"/>
          <w:szCs w:val="24"/>
        </w:rPr>
      </w:pPr>
      <w:r w:rsidRPr="00063035">
        <w:rPr>
          <w:rFonts w:ascii="Times New Roman" w:hAnsi="Times New Roman" w:cs="Times New Roman"/>
          <w:sz w:val="24"/>
          <w:szCs w:val="24"/>
        </w:rPr>
        <w:t xml:space="preserve">Professor Young </w:t>
      </w:r>
      <w:r w:rsidR="00371069" w:rsidRPr="00063035">
        <w:rPr>
          <w:rFonts w:ascii="Times New Roman" w:hAnsi="Times New Roman" w:cs="Times New Roman"/>
          <w:sz w:val="24"/>
          <w:szCs w:val="24"/>
        </w:rPr>
        <w:t>responds to Reason 4</w:t>
      </w:r>
      <w:r w:rsidRPr="00063035">
        <w:rPr>
          <w:rFonts w:ascii="Times New Roman" w:hAnsi="Times New Roman" w:cs="Times New Roman"/>
          <w:sz w:val="24"/>
          <w:szCs w:val="24"/>
        </w:rPr>
        <w:t xml:space="preserve"> by stating, “</w:t>
      </w:r>
      <w:r w:rsidR="0095031F" w:rsidRPr="00063035">
        <w:rPr>
          <w:rFonts w:ascii="Times New Roman" w:hAnsi="Times New Roman" w:cs="Times New Roman"/>
          <w:sz w:val="24"/>
          <w:szCs w:val="24"/>
        </w:rPr>
        <w:t>This is odd, because in Young et al (2016), the word Florida appears on 33 occasions, and there is a subheading in the article titled, “The Florida Effect.” He adds that “A lingering question is, if Florida adopted a millionaire tax, would Texas or New Hampshire become the new destination for millionaire migration? Or would east coast elites continue to see Florida as an attractive location? I believe that at least some of the migration to Florida is strictly for tax purposes. But I also suspect that sun, sand, and palm trees would be attractive even if Florida had the same tax policies as New Jersey or New York.”</w:t>
      </w:r>
    </w:p>
    <w:p w:rsidR="00A3524F" w:rsidRPr="00063035" w:rsidRDefault="0095031F" w:rsidP="00DC0C0F">
      <w:pPr>
        <w:spacing w:line="240" w:lineRule="auto"/>
        <w:rPr>
          <w:rFonts w:ascii="Times New Roman" w:hAnsi="Times New Roman" w:cs="Times New Roman"/>
          <w:sz w:val="24"/>
          <w:szCs w:val="24"/>
        </w:rPr>
      </w:pPr>
      <w:r w:rsidRPr="00063035">
        <w:rPr>
          <w:rFonts w:ascii="Arial" w:hAnsi="Arial" w:cs="Arial"/>
          <w:b/>
          <w:color w:val="1F3864" w:themeColor="accent5" w:themeShade="80"/>
          <w:sz w:val="21"/>
          <w:szCs w:val="21"/>
        </w:rPr>
        <w:t>Pioneer’s comment</w:t>
      </w:r>
      <w:r w:rsidRPr="00063035">
        <w:rPr>
          <w:rFonts w:ascii="Times New Roman" w:hAnsi="Times New Roman" w:cs="Times New Roman"/>
          <w:sz w:val="24"/>
          <w:szCs w:val="24"/>
        </w:rPr>
        <w:t>: In our paper, we cite Professor Young’s writing that “evidence for tax migration is largely driven by Florida as an attractive destination for U.S. millionaires” and that “[t]he uniqueness of the Florida effect is a very robust finding.”  His 2016 journal article states</w:t>
      </w:r>
      <w:r w:rsidR="00A3524F" w:rsidRPr="00063035">
        <w:rPr>
          <w:rFonts w:ascii="Times New Roman" w:hAnsi="Times New Roman" w:cs="Times New Roman"/>
          <w:sz w:val="24"/>
          <w:szCs w:val="24"/>
        </w:rPr>
        <w:t>:</w:t>
      </w:r>
    </w:p>
    <w:p w:rsidR="00A3524F" w:rsidRPr="00063035" w:rsidRDefault="0095031F" w:rsidP="00DC0C0F">
      <w:pPr>
        <w:spacing w:line="240" w:lineRule="auto"/>
        <w:ind w:left="720"/>
        <w:rPr>
          <w:rFonts w:ascii="Times New Roman" w:hAnsi="Times New Roman" w:cs="Times New Roman"/>
          <w:sz w:val="24"/>
          <w:szCs w:val="24"/>
        </w:rPr>
      </w:pPr>
      <w:r w:rsidRPr="00063035">
        <w:rPr>
          <w:rFonts w:ascii="Times New Roman" w:hAnsi="Times New Roman" w:cs="Times New Roman"/>
          <w:sz w:val="24"/>
          <w:szCs w:val="24"/>
        </w:rPr>
        <w:t xml:space="preserve">Florida has no state income tax, but it is also attractive in other unique ways—for example, it is the only state with coastal access to the Caribbean Sea. It is difficult to know whether the Florida effect is driven by tax avoidance, unique geography, or some especially appealing combination of the two. Disentangling these factors for one specific state is beyond the scope of this research but is an important venue for future study. </w:t>
      </w:r>
    </w:p>
    <w:p w:rsidR="0095031F" w:rsidRPr="00063035" w:rsidRDefault="0095031F" w:rsidP="00DC0C0F">
      <w:pPr>
        <w:spacing w:after="300" w:line="240" w:lineRule="auto"/>
        <w:rPr>
          <w:rFonts w:ascii="Times New Roman" w:hAnsi="Times New Roman" w:cs="Times New Roman"/>
          <w:sz w:val="24"/>
          <w:szCs w:val="24"/>
        </w:rPr>
      </w:pPr>
      <w:r w:rsidRPr="00063035">
        <w:rPr>
          <w:rFonts w:ascii="Times New Roman" w:hAnsi="Times New Roman" w:cs="Times New Roman"/>
          <w:sz w:val="24"/>
          <w:szCs w:val="24"/>
        </w:rPr>
        <w:t xml:space="preserve">Pioneer’s paper points to the enormous scale of Florida’s net in-migration. </w:t>
      </w:r>
      <w:r w:rsidR="00371069" w:rsidRPr="00063035">
        <w:rPr>
          <w:rFonts w:ascii="Times New Roman" w:hAnsi="Times New Roman" w:cs="Times New Roman"/>
          <w:sz w:val="24"/>
          <w:szCs w:val="24"/>
        </w:rPr>
        <w:t xml:space="preserve">Making the case that millionaires are little affected by state tax policy is difficult with Florida in the mix. </w:t>
      </w:r>
      <w:r w:rsidRPr="00063035">
        <w:rPr>
          <w:rFonts w:ascii="Times New Roman" w:hAnsi="Times New Roman" w:cs="Times New Roman"/>
          <w:sz w:val="24"/>
          <w:szCs w:val="24"/>
        </w:rPr>
        <w:t>Florida was by far the most attractive destination for migrating U.S. taxpayers from 1992–93 to 2014–15. The Sunshine State added $133.65 billion in cumulative net adjusted gross income (AGI) over this period across all income levels, according to IRS Statistics of Income data. Florida had a total of 56,093 migration inflow returns of taxpayers with AGIs of $200,000 or more from 2011–12 to 2014–15. The average AGI of these returns was</w:t>
      </w:r>
      <w:r w:rsidR="00371069" w:rsidRPr="00063035">
        <w:rPr>
          <w:rFonts w:ascii="Times New Roman" w:hAnsi="Times New Roman" w:cs="Times New Roman"/>
          <w:sz w:val="24"/>
          <w:szCs w:val="24"/>
        </w:rPr>
        <w:t xml:space="preserve"> $820,272. Florida’s inflow returns over this period totaled $46.01 billion. IRS data showing Massachusetts’ net migration of AGI from 1992–93 to 2015–16 for all tax returns regardless of income level shows that Massachusetts experienced a cumulative net outflow of $15.9 billion in AGI over this period. Massachusetts had a net out-migration of AGI to Florida of $8.2 billion, representing 47.3 percent of Massachusetts’ total AGI net out-migration.</w:t>
      </w:r>
    </w:p>
    <w:p w:rsidR="00371069" w:rsidRPr="00DC0C0F" w:rsidRDefault="00371069" w:rsidP="00DC0C0F">
      <w:pPr>
        <w:spacing w:after="120" w:line="240" w:lineRule="auto"/>
        <w:rPr>
          <w:rFonts w:ascii="Arial" w:hAnsi="Arial" w:cs="Arial"/>
          <w:b/>
          <w:color w:val="1F3864" w:themeColor="accent5" w:themeShade="80"/>
          <w:sz w:val="23"/>
          <w:szCs w:val="23"/>
        </w:rPr>
      </w:pPr>
      <w:r w:rsidRPr="00DC0C0F">
        <w:rPr>
          <w:rFonts w:ascii="Arial" w:hAnsi="Arial" w:cs="Arial"/>
          <w:b/>
          <w:color w:val="1F3864" w:themeColor="accent5" w:themeShade="80"/>
          <w:sz w:val="23"/>
          <w:szCs w:val="23"/>
        </w:rPr>
        <w:lastRenderedPageBreak/>
        <w:t>Pioneer’s Reason 5: Professor Young’s conclusions do not take into consideration data showing that states with no state capital gains tax have the highest average capital gains reported on federal tax returns.</w:t>
      </w:r>
    </w:p>
    <w:p w:rsidR="00A3524F" w:rsidRPr="00063035" w:rsidRDefault="00371069" w:rsidP="00DC0C0F">
      <w:pPr>
        <w:spacing w:line="240" w:lineRule="auto"/>
        <w:rPr>
          <w:rFonts w:ascii="Times New Roman" w:hAnsi="Times New Roman" w:cs="Times New Roman"/>
          <w:sz w:val="24"/>
          <w:szCs w:val="24"/>
        </w:rPr>
      </w:pPr>
      <w:r w:rsidRPr="00063035">
        <w:rPr>
          <w:rFonts w:ascii="Times New Roman" w:hAnsi="Times New Roman" w:cs="Times New Roman"/>
          <w:sz w:val="24"/>
          <w:szCs w:val="24"/>
        </w:rPr>
        <w:t>Professor Young responds to Reason 5 by stating</w:t>
      </w:r>
      <w:r w:rsidR="00A3524F" w:rsidRPr="00063035">
        <w:rPr>
          <w:rFonts w:ascii="Times New Roman" w:hAnsi="Times New Roman" w:cs="Times New Roman"/>
          <w:sz w:val="24"/>
          <w:szCs w:val="24"/>
        </w:rPr>
        <w:t>:</w:t>
      </w:r>
      <w:r w:rsidR="006342AD" w:rsidRPr="00063035">
        <w:rPr>
          <w:rFonts w:ascii="Times New Roman" w:hAnsi="Times New Roman" w:cs="Times New Roman"/>
          <w:sz w:val="24"/>
          <w:szCs w:val="24"/>
        </w:rPr>
        <w:t xml:space="preserve"> </w:t>
      </w:r>
    </w:p>
    <w:p w:rsidR="00371069" w:rsidRPr="00063035" w:rsidRDefault="00371069" w:rsidP="00DC0C0F">
      <w:pPr>
        <w:spacing w:line="240" w:lineRule="auto"/>
        <w:ind w:left="720"/>
        <w:rPr>
          <w:rFonts w:ascii="Times New Roman" w:hAnsi="Times New Roman" w:cs="Times New Roman"/>
          <w:sz w:val="24"/>
          <w:szCs w:val="24"/>
        </w:rPr>
      </w:pPr>
      <w:r w:rsidRPr="00063035">
        <w:rPr>
          <w:rFonts w:ascii="Times New Roman" w:hAnsi="Times New Roman" w:cs="Times New Roman"/>
          <w:sz w:val="24"/>
          <w:szCs w:val="24"/>
        </w:rPr>
        <w:t>Capital gains taxes are of course interesting. However, few millionaires make their money from capital gains. Only 11 percent of millionaires make the majority (75</w:t>
      </w:r>
      <w:r w:rsidR="00A3524F" w:rsidRPr="00063035">
        <w:rPr>
          <w:rFonts w:ascii="Times New Roman" w:hAnsi="Times New Roman" w:cs="Times New Roman"/>
          <w:sz w:val="24"/>
          <w:szCs w:val="24"/>
        </w:rPr>
        <w:t xml:space="preserve"> percent</w:t>
      </w:r>
      <w:r w:rsidRPr="00063035">
        <w:rPr>
          <w:rFonts w:ascii="Times New Roman" w:hAnsi="Times New Roman" w:cs="Times New Roman"/>
          <w:sz w:val="24"/>
          <w:szCs w:val="24"/>
        </w:rPr>
        <w:t xml:space="preserve"> or more) of their income from capital (Young et al 2016:433). He adds that “Neither migration nor tax flight is notably different between </w:t>
      </w:r>
      <w:r w:rsidR="00A3524F" w:rsidRPr="00063035">
        <w:rPr>
          <w:rFonts w:ascii="Times New Roman" w:hAnsi="Times New Roman" w:cs="Times New Roman"/>
          <w:sz w:val="24"/>
          <w:szCs w:val="24"/>
        </w:rPr>
        <w:t>‘</w:t>
      </w:r>
      <w:r w:rsidRPr="00063035">
        <w:rPr>
          <w:rFonts w:ascii="Times New Roman" w:hAnsi="Times New Roman" w:cs="Times New Roman"/>
          <w:sz w:val="24"/>
          <w:szCs w:val="24"/>
        </w:rPr>
        <w:t>capitalists</w:t>
      </w:r>
      <w:r w:rsidR="00A3524F" w:rsidRPr="00063035">
        <w:rPr>
          <w:rFonts w:ascii="Times New Roman" w:hAnsi="Times New Roman" w:cs="Times New Roman"/>
          <w:sz w:val="24"/>
          <w:szCs w:val="24"/>
        </w:rPr>
        <w:t>’</w:t>
      </w:r>
      <w:r w:rsidRPr="00063035">
        <w:rPr>
          <w:rFonts w:ascii="Times New Roman" w:hAnsi="Times New Roman" w:cs="Times New Roman"/>
          <w:sz w:val="24"/>
          <w:szCs w:val="24"/>
        </w:rPr>
        <w:t xml:space="preserve"> (those with high capital gains) and the working rich (those with high salaries) – as reported in Young et al (2016:433). Both have low rates of migration, and both have a level of tax flight that is essentially negligible for the millionaire population in a state. As noted above, I am conducting ongoing research on capital gains responsiveness.</w:t>
      </w:r>
    </w:p>
    <w:p w:rsidR="003D2C91" w:rsidRPr="00063035" w:rsidRDefault="00371069" w:rsidP="00DC0C0F">
      <w:pPr>
        <w:spacing w:after="300" w:line="240" w:lineRule="auto"/>
        <w:rPr>
          <w:rFonts w:ascii="Times New Roman" w:hAnsi="Times New Roman" w:cs="Times New Roman"/>
          <w:sz w:val="24"/>
          <w:szCs w:val="24"/>
        </w:rPr>
      </w:pPr>
      <w:r w:rsidRPr="00063035">
        <w:rPr>
          <w:rFonts w:ascii="Arial" w:hAnsi="Arial" w:cs="Arial"/>
          <w:b/>
          <w:color w:val="1F3864" w:themeColor="accent5" w:themeShade="80"/>
          <w:sz w:val="21"/>
          <w:szCs w:val="21"/>
        </w:rPr>
        <w:t>Pioneer’s comment</w:t>
      </w:r>
      <w:r w:rsidRPr="00063035">
        <w:rPr>
          <w:rFonts w:ascii="Times New Roman" w:hAnsi="Times New Roman" w:cs="Times New Roman"/>
          <w:sz w:val="24"/>
          <w:szCs w:val="24"/>
        </w:rPr>
        <w:t>: Professor Young side</w:t>
      </w:r>
      <w:r w:rsidR="00A3524F" w:rsidRPr="00063035">
        <w:rPr>
          <w:rFonts w:ascii="Times New Roman" w:hAnsi="Times New Roman" w:cs="Times New Roman"/>
          <w:sz w:val="24"/>
          <w:szCs w:val="24"/>
        </w:rPr>
        <w:t xml:space="preserve"> </w:t>
      </w:r>
      <w:r w:rsidRPr="00063035">
        <w:rPr>
          <w:rFonts w:ascii="Times New Roman" w:hAnsi="Times New Roman" w:cs="Times New Roman"/>
          <w:sz w:val="24"/>
          <w:szCs w:val="24"/>
        </w:rPr>
        <w:t>steps the criticism regarding</w:t>
      </w:r>
      <w:r w:rsidR="009C68EA" w:rsidRPr="00063035">
        <w:rPr>
          <w:rFonts w:ascii="Times New Roman" w:hAnsi="Times New Roman" w:cs="Times New Roman"/>
          <w:sz w:val="24"/>
          <w:szCs w:val="24"/>
        </w:rPr>
        <w:t xml:space="preserve"> his lack of consideration of capital gains taxes. To begin with, we do not accept Professor Young’s contention that “75 percent or more of income”” is the </w:t>
      </w:r>
      <w:r w:rsidR="003D2C91" w:rsidRPr="00063035">
        <w:rPr>
          <w:rFonts w:ascii="Times New Roman" w:hAnsi="Times New Roman" w:cs="Times New Roman"/>
          <w:sz w:val="24"/>
          <w:szCs w:val="24"/>
        </w:rPr>
        <w:t xml:space="preserve">correct </w:t>
      </w:r>
      <w:r w:rsidR="009C68EA" w:rsidRPr="00063035">
        <w:rPr>
          <w:rFonts w:ascii="Times New Roman" w:hAnsi="Times New Roman" w:cs="Times New Roman"/>
          <w:sz w:val="24"/>
          <w:szCs w:val="24"/>
        </w:rPr>
        <w:t xml:space="preserve">definition of a majority of income. More significantly, we do not agree that capital gain income is an insignificant issue to consider </w:t>
      </w:r>
      <w:r w:rsidR="003D2C91" w:rsidRPr="00063035">
        <w:rPr>
          <w:rFonts w:ascii="Times New Roman" w:hAnsi="Times New Roman" w:cs="Times New Roman"/>
          <w:sz w:val="24"/>
          <w:szCs w:val="24"/>
        </w:rPr>
        <w:t xml:space="preserve">when tracking millionaire migration </w:t>
      </w:r>
      <w:r w:rsidR="009C68EA" w:rsidRPr="00063035">
        <w:rPr>
          <w:rFonts w:ascii="Times New Roman" w:hAnsi="Times New Roman" w:cs="Times New Roman"/>
          <w:sz w:val="24"/>
          <w:szCs w:val="24"/>
        </w:rPr>
        <w:t xml:space="preserve">because </w:t>
      </w:r>
      <w:r w:rsidR="00A3524F" w:rsidRPr="00063035">
        <w:rPr>
          <w:rFonts w:ascii="Times New Roman" w:hAnsi="Times New Roman" w:cs="Times New Roman"/>
          <w:sz w:val="24"/>
          <w:szCs w:val="24"/>
        </w:rPr>
        <w:t>high net-worth taxpayers who earn less than $1 million in annual income hold</w:t>
      </w:r>
      <w:r w:rsidR="009C68EA" w:rsidRPr="00063035">
        <w:rPr>
          <w:rFonts w:ascii="Times New Roman" w:hAnsi="Times New Roman" w:cs="Times New Roman"/>
          <w:sz w:val="24"/>
          <w:szCs w:val="24"/>
        </w:rPr>
        <w:t xml:space="preserve"> an astronomical amount of unrecognized capital gains</w:t>
      </w:r>
      <w:r w:rsidR="003D2C91" w:rsidRPr="00063035">
        <w:rPr>
          <w:rFonts w:ascii="Times New Roman" w:hAnsi="Times New Roman" w:cs="Times New Roman"/>
          <w:sz w:val="24"/>
          <w:szCs w:val="24"/>
        </w:rPr>
        <w:t>.  A</w:t>
      </w:r>
      <w:r w:rsidR="009C68EA" w:rsidRPr="00063035">
        <w:rPr>
          <w:rFonts w:ascii="Times New Roman" w:hAnsi="Times New Roman" w:cs="Times New Roman"/>
          <w:sz w:val="24"/>
          <w:szCs w:val="24"/>
        </w:rPr>
        <w:t>ccordi</w:t>
      </w:r>
      <w:r w:rsidR="003D2C91" w:rsidRPr="00063035">
        <w:rPr>
          <w:rFonts w:ascii="Times New Roman" w:hAnsi="Times New Roman" w:cs="Times New Roman"/>
          <w:sz w:val="24"/>
          <w:szCs w:val="24"/>
        </w:rPr>
        <w:t xml:space="preserve">ng to the Federal Reserve Board, there were 13.7 million </w:t>
      </w:r>
      <w:r w:rsidR="00A3524F" w:rsidRPr="00063035">
        <w:rPr>
          <w:rFonts w:ascii="Times New Roman" w:hAnsi="Times New Roman" w:cs="Times New Roman"/>
          <w:sz w:val="24"/>
          <w:szCs w:val="24"/>
        </w:rPr>
        <w:t xml:space="preserve">U.S. </w:t>
      </w:r>
      <w:r w:rsidR="003D2C91" w:rsidRPr="00063035">
        <w:rPr>
          <w:rFonts w:ascii="Times New Roman" w:hAnsi="Times New Roman" w:cs="Times New Roman"/>
          <w:sz w:val="24"/>
          <w:szCs w:val="24"/>
        </w:rPr>
        <w:t xml:space="preserve">households with net worth of $1 million and annual income of less than $1 million. These households, which are not counted by Professor Young’s methodology, had unrealized capital gains of $12.8 trillion.  By comparison, the entire federal budget for 2016 was $4.04 trillion. We note also that the four states with the highest average federal capital gains income </w:t>
      </w:r>
      <w:r w:rsidR="00E5579A" w:rsidRPr="00063035">
        <w:rPr>
          <w:rFonts w:ascii="Times New Roman" w:hAnsi="Times New Roman" w:cs="Times New Roman"/>
          <w:sz w:val="24"/>
          <w:szCs w:val="24"/>
        </w:rPr>
        <w:t>among those earning</w:t>
      </w:r>
      <w:r w:rsidR="003D2C91" w:rsidRPr="00063035">
        <w:rPr>
          <w:rFonts w:ascii="Times New Roman" w:hAnsi="Times New Roman" w:cs="Times New Roman"/>
          <w:sz w:val="24"/>
          <w:szCs w:val="24"/>
        </w:rPr>
        <w:t xml:space="preserve"> $500,000 or more in AGI all had no state capital gains taxes. Aside from this telling distinction, one would not expect these states (Wyoming, Nevada, Florida, and Washington) to be national leaders in capital gains income </w:t>
      </w:r>
      <w:r w:rsidR="00E5579A" w:rsidRPr="00063035">
        <w:rPr>
          <w:rFonts w:ascii="Times New Roman" w:hAnsi="Times New Roman" w:cs="Times New Roman"/>
          <w:sz w:val="24"/>
          <w:szCs w:val="24"/>
        </w:rPr>
        <w:t>among</w:t>
      </w:r>
      <w:r w:rsidR="003D2C91" w:rsidRPr="00063035">
        <w:rPr>
          <w:rFonts w:ascii="Times New Roman" w:hAnsi="Times New Roman" w:cs="Times New Roman"/>
          <w:sz w:val="24"/>
          <w:szCs w:val="24"/>
        </w:rPr>
        <w:t xml:space="preserve"> high earners. One might expect that distinction would go to states that are considered national centers of finance, insurance, and industry like New York, New Jersey, California, Massachusetts, and Connecticut. Such evidence seems to make a common-sense case for the argument that taxpayers do in fact take state tax rates into consideration when deciding where to take capital gains income. Taxpayers who relocate to a zero-capital gains tax state in order to realize capital gains are effectively overlooked by Professor Young’s methodology.</w:t>
      </w:r>
    </w:p>
    <w:p w:rsidR="003D2C91" w:rsidRPr="00DC0C0F" w:rsidRDefault="003D2C91" w:rsidP="00DC0C0F">
      <w:pPr>
        <w:spacing w:after="120" w:line="240" w:lineRule="auto"/>
        <w:rPr>
          <w:rFonts w:ascii="Arial" w:hAnsi="Arial" w:cs="Arial"/>
          <w:b/>
          <w:color w:val="1F3864" w:themeColor="accent5" w:themeShade="80"/>
          <w:sz w:val="23"/>
          <w:szCs w:val="23"/>
        </w:rPr>
      </w:pPr>
      <w:r w:rsidRPr="00DC0C0F">
        <w:rPr>
          <w:rFonts w:ascii="Arial" w:hAnsi="Arial" w:cs="Arial"/>
          <w:b/>
          <w:color w:val="1F3864" w:themeColor="accent5" w:themeShade="80"/>
          <w:sz w:val="23"/>
          <w:szCs w:val="23"/>
        </w:rPr>
        <w:t>Pioneer’s Reason 6: Professor Young does not consider the impact of state-imposed estate taxes on taxpayer migration</w:t>
      </w:r>
      <w:r w:rsidR="006342AD" w:rsidRPr="00DC0C0F">
        <w:rPr>
          <w:rFonts w:ascii="Arial" w:hAnsi="Arial" w:cs="Arial"/>
          <w:b/>
          <w:color w:val="1F3864" w:themeColor="accent5" w:themeShade="80"/>
          <w:sz w:val="23"/>
          <w:szCs w:val="23"/>
        </w:rPr>
        <w:t>.</w:t>
      </w:r>
    </w:p>
    <w:p w:rsidR="00E5579A" w:rsidRPr="00063035" w:rsidRDefault="006342AD" w:rsidP="00DC0C0F">
      <w:pPr>
        <w:spacing w:line="240" w:lineRule="auto"/>
        <w:rPr>
          <w:rFonts w:ascii="Times New Roman" w:hAnsi="Times New Roman" w:cs="Times New Roman"/>
          <w:sz w:val="24"/>
          <w:szCs w:val="24"/>
        </w:rPr>
      </w:pPr>
      <w:r w:rsidRPr="00063035">
        <w:rPr>
          <w:rFonts w:ascii="Times New Roman" w:hAnsi="Times New Roman" w:cs="Times New Roman"/>
          <w:sz w:val="24"/>
          <w:szCs w:val="24"/>
        </w:rPr>
        <w:t>Professor Young responds to Reason 6 by stating</w:t>
      </w:r>
      <w:r w:rsidR="00E5579A" w:rsidRPr="00063035">
        <w:rPr>
          <w:rFonts w:ascii="Times New Roman" w:hAnsi="Times New Roman" w:cs="Times New Roman"/>
          <w:sz w:val="24"/>
          <w:szCs w:val="24"/>
        </w:rPr>
        <w:t>:</w:t>
      </w:r>
      <w:r w:rsidRPr="00063035">
        <w:rPr>
          <w:rFonts w:ascii="Times New Roman" w:hAnsi="Times New Roman" w:cs="Times New Roman"/>
          <w:sz w:val="24"/>
          <w:szCs w:val="24"/>
        </w:rPr>
        <w:t xml:space="preserve"> </w:t>
      </w:r>
    </w:p>
    <w:p w:rsidR="006342AD" w:rsidRPr="00063035" w:rsidRDefault="006342AD" w:rsidP="00DC0C0F">
      <w:pPr>
        <w:spacing w:line="240" w:lineRule="auto"/>
        <w:ind w:left="720"/>
        <w:rPr>
          <w:rFonts w:ascii="Times New Roman" w:hAnsi="Times New Roman" w:cs="Times New Roman"/>
          <w:sz w:val="24"/>
          <w:szCs w:val="24"/>
        </w:rPr>
      </w:pPr>
      <w:r w:rsidRPr="00063035">
        <w:rPr>
          <w:rFonts w:ascii="Times New Roman" w:hAnsi="Times New Roman" w:cs="Times New Roman"/>
          <w:sz w:val="24"/>
          <w:szCs w:val="24"/>
        </w:rPr>
        <w:t xml:space="preserve">The proposed millionaire tax does not tax estates – nor do any of the other state millionaire taxes in the U.S. So, for this issue, there is no reason to be talking about an estate tax. Second, it is wrong to say I did not consider estate / inheritance taxes. I explored inheritance taxes at the state level, and found they had no effect on millionaire migration. Because readers have limited patience for null results, I left this to a footnote, saying “in alternative specifications, we included a coarse dummy variable for a state-level inheritance tax” (Young et al 2016: fn6). Currently, it is </w:t>
      </w:r>
      <w:r w:rsidRPr="00063035">
        <w:rPr>
          <w:rFonts w:ascii="Times New Roman" w:hAnsi="Times New Roman" w:cs="Times New Roman"/>
          <w:sz w:val="24"/>
          <w:szCs w:val="24"/>
        </w:rPr>
        <w:lastRenderedPageBreak/>
        <w:t>difficult estimate the actual level of inheritance taxation in different states, due to the complexity of state inheritance tax laws. Scholars are currently working on a formal state level estate tax calculator, which will allow more detailed research on this question in the future.</w:t>
      </w:r>
    </w:p>
    <w:p w:rsidR="009C68EA" w:rsidRPr="00063035" w:rsidRDefault="006342AD" w:rsidP="00DC0C0F">
      <w:pPr>
        <w:spacing w:after="240" w:line="240" w:lineRule="auto"/>
        <w:rPr>
          <w:rFonts w:ascii="Times New Roman" w:hAnsi="Times New Roman" w:cs="Times New Roman"/>
          <w:sz w:val="24"/>
          <w:szCs w:val="24"/>
        </w:rPr>
      </w:pPr>
      <w:r w:rsidRPr="00063035">
        <w:rPr>
          <w:rFonts w:ascii="Arial" w:hAnsi="Arial" w:cs="Arial"/>
          <w:b/>
          <w:color w:val="1F3864" w:themeColor="accent5" w:themeShade="80"/>
          <w:sz w:val="21"/>
          <w:szCs w:val="21"/>
        </w:rPr>
        <w:t>Pioneer’s comment</w:t>
      </w:r>
      <w:r w:rsidRPr="00063035">
        <w:rPr>
          <w:rFonts w:ascii="Times New Roman" w:hAnsi="Times New Roman" w:cs="Times New Roman"/>
          <w:sz w:val="24"/>
          <w:szCs w:val="24"/>
        </w:rPr>
        <w:t xml:space="preserve">: Professor Young responds to this criticism of his methodology by focusing on the Massachusetts Fair Share initiative petition, a local issue. </w:t>
      </w:r>
      <w:r w:rsidR="000F2BBF" w:rsidRPr="00063035">
        <w:rPr>
          <w:rFonts w:ascii="Times New Roman" w:hAnsi="Times New Roman" w:cs="Times New Roman"/>
          <w:sz w:val="24"/>
          <w:szCs w:val="24"/>
        </w:rPr>
        <w:t xml:space="preserve">He is correct in pointing out that the Fair Share ballot question does not impact estate taxes, but </w:t>
      </w:r>
      <w:r w:rsidRPr="00063035">
        <w:rPr>
          <w:rFonts w:ascii="Times New Roman" w:hAnsi="Times New Roman" w:cs="Times New Roman"/>
          <w:sz w:val="24"/>
          <w:szCs w:val="24"/>
        </w:rPr>
        <w:t xml:space="preserve">Pioneer’s critique of his research methodology is intended to pertain to his published research. </w:t>
      </w:r>
      <w:r w:rsidR="000F2BBF" w:rsidRPr="00063035">
        <w:rPr>
          <w:rFonts w:ascii="Times New Roman" w:hAnsi="Times New Roman" w:cs="Times New Roman"/>
          <w:sz w:val="24"/>
          <w:szCs w:val="24"/>
        </w:rPr>
        <w:t>In this broader context, it is a serious omission to overlook the impact of estate taxation o</w:t>
      </w:r>
      <w:r w:rsidR="00E5579A" w:rsidRPr="00063035">
        <w:rPr>
          <w:rFonts w:ascii="Times New Roman" w:hAnsi="Times New Roman" w:cs="Times New Roman"/>
          <w:sz w:val="24"/>
          <w:szCs w:val="24"/>
        </w:rPr>
        <w:t>n</w:t>
      </w:r>
      <w:r w:rsidR="000F2BBF" w:rsidRPr="00063035">
        <w:rPr>
          <w:rFonts w:ascii="Times New Roman" w:hAnsi="Times New Roman" w:cs="Times New Roman"/>
          <w:sz w:val="24"/>
          <w:szCs w:val="24"/>
        </w:rPr>
        <w:t xml:space="preserve"> millionaire migration. This is demonstrated by estate</w:t>
      </w:r>
      <w:r w:rsidR="00E5579A" w:rsidRPr="00063035">
        <w:rPr>
          <w:rFonts w:ascii="Times New Roman" w:hAnsi="Times New Roman" w:cs="Times New Roman"/>
          <w:sz w:val="24"/>
          <w:szCs w:val="24"/>
        </w:rPr>
        <w:t xml:space="preserve"> </w:t>
      </w:r>
      <w:r w:rsidR="000F2BBF" w:rsidRPr="00063035">
        <w:rPr>
          <w:rFonts w:ascii="Times New Roman" w:hAnsi="Times New Roman" w:cs="Times New Roman"/>
          <w:sz w:val="24"/>
          <w:szCs w:val="24"/>
        </w:rPr>
        <w:t xml:space="preserve">tax-free Florida’s amazing performance.  </w:t>
      </w:r>
      <w:r w:rsidRPr="00063035">
        <w:rPr>
          <w:rFonts w:ascii="Times New Roman" w:hAnsi="Times New Roman" w:cs="Times New Roman"/>
          <w:sz w:val="24"/>
          <w:szCs w:val="24"/>
        </w:rPr>
        <w:t>Historical data published by the IRS shows that Florida’s share of federal estate taxes paid by state residents has increased dramatically over the past 20 years from 11.7 percent in 1996 to 16.6 percent in 2016. By comparison, the four leading Northeast states of New York, New Jersey, Massachusetts, and Connecticut have experienced a decrease in their cumulative share of federal estate taxes paid by state residents from 18.3 percent in 1996 to 16.2 percent in 2016. Florida’s lack of a state-imposed estate tax seems a likely contributing factor. Florida, with a population of approximately half the size of the combined total of the four leading Northeast states (20.6 million versus 39.1 million in 2016)</w:t>
      </w:r>
      <w:r w:rsidR="00E90385" w:rsidRPr="00063035">
        <w:rPr>
          <w:rFonts w:ascii="Times New Roman" w:hAnsi="Times New Roman" w:cs="Times New Roman"/>
          <w:sz w:val="24"/>
          <w:szCs w:val="24"/>
        </w:rPr>
        <w:t>,</w:t>
      </w:r>
      <w:r w:rsidRPr="00063035">
        <w:rPr>
          <w:rFonts w:ascii="Times New Roman" w:hAnsi="Times New Roman" w:cs="Times New Roman"/>
          <w:sz w:val="24"/>
          <w:szCs w:val="24"/>
        </w:rPr>
        <w:t xml:space="preserve"> caught up to and surpassed these states in the amount of federal estate taxes paid by state residents over two decades</w:t>
      </w:r>
      <w:r w:rsidR="000F2BBF" w:rsidRPr="00063035">
        <w:rPr>
          <w:rFonts w:ascii="Times New Roman" w:hAnsi="Times New Roman" w:cs="Times New Roman"/>
          <w:sz w:val="24"/>
          <w:szCs w:val="24"/>
        </w:rPr>
        <w:t xml:space="preserve">. This is common-sense evidence that avoidance of estate taxes should be considered </w:t>
      </w:r>
      <w:r w:rsidR="00E90385" w:rsidRPr="00063035">
        <w:rPr>
          <w:rFonts w:ascii="Times New Roman" w:hAnsi="Times New Roman" w:cs="Times New Roman"/>
          <w:sz w:val="24"/>
          <w:szCs w:val="24"/>
        </w:rPr>
        <w:t>whe</w:t>
      </w:r>
      <w:r w:rsidR="000F2BBF" w:rsidRPr="00063035">
        <w:rPr>
          <w:rFonts w:ascii="Times New Roman" w:hAnsi="Times New Roman" w:cs="Times New Roman"/>
          <w:sz w:val="24"/>
          <w:szCs w:val="24"/>
        </w:rPr>
        <w:t>n analy</w:t>
      </w:r>
      <w:r w:rsidR="00E90385" w:rsidRPr="00063035">
        <w:rPr>
          <w:rFonts w:ascii="Times New Roman" w:hAnsi="Times New Roman" w:cs="Times New Roman"/>
          <w:sz w:val="24"/>
          <w:szCs w:val="24"/>
        </w:rPr>
        <w:t>zing</w:t>
      </w:r>
      <w:r w:rsidR="000F2BBF" w:rsidRPr="00063035">
        <w:rPr>
          <w:rFonts w:ascii="Times New Roman" w:hAnsi="Times New Roman" w:cs="Times New Roman"/>
          <w:sz w:val="24"/>
          <w:szCs w:val="24"/>
        </w:rPr>
        <w:t xml:space="preserve"> of millionaire migration. </w:t>
      </w:r>
    </w:p>
    <w:p w:rsidR="00355FCB" w:rsidRPr="00DC0C0F" w:rsidRDefault="00355FCB" w:rsidP="00DC0C0F">
      <w:pPr>
        <w:spacing w:after="120" w:line="240" w:lineRule="auto"/>
        <w:rPr>
          <w:rFonts w:ascii="Arial" w:hAnsi="Arial" w:cs="Arial"/>
          <w:b/>
          <w:color w:val="1F3864" w:themeColor="accent5" w:themeShade="80"/>
          <w:sz w:val="23"/>
          <w:szCs w:val="23"/>
        </w:rPr>
      </w:pPr>
      <w:r w:rsidRPr="00DC0C0F">
        <w:rPr>
          <w:rFonts w:ascii="Arial" w:hAnsi="Arial" w:cs="Arial"/>
          <w:b/>
          <w:color w:val="1F3864" w:themeColor="accent5" w:themeShade="80"/>
          <w:sz w:val="23"/>
          <w:szCs w:val="23"/>
        </w:rPr>
        <w:t>Pioneer’s Reason 7: Professor Young includes important caveats to his conclusions</w:t>
      </w:r>
      <w:r w:rsidR="00A318D7" w:rsidRPr="00DC0C0F">
        <w:rPr>
          <w:rFonts w:ascii="Arial" w:hAnsi="Arial" w:cs="Arial"/>
          <w:b/>
          <w:color w:val="1F3864" w:themeColor="accent5" w:themeShade="80"/>
          <w:sz w:val="23"/>
          <w:szCs w:val="23"/>
        </w:rPr>
        <w:t>, including limitations on availability of informative tax data.</w:t>
      </w:r>
    </w:p>
    <w:p w:rsidR="00545B99" w:rsidRPr="00063035" w:rsidRDefault="00A318D7" w:rsidP="003A12E1">
      <w:pPr>
        <w:spacing w:line="240" w:lineRule="auto"/>
        <w:rPr>
          <w:rFonts w:ascii="Times New Roman" w:hAnsi="Times New Roman" w:cs="Times New Roman"/>
          <w:sz w:val="24"/>
          <w:szCs w:val="24"/>
        </w:rPr>
      </w:pPr>
      <w:r w:rsidRPr="00063035">
        <w:rPr>
          <w:rFonts w:ascii="Times New Roman" w:hAnsi="Times New Roman" w:cs="Times New Roman"/>
          <w:sz w:val="24"/>
          <w:szCs w:val="24"/>
        </w:rPr>
        <w:t>Professor Young responds to Reason 7 by stating</w:t>
      </w:r>
      <w:r w:rsidR="00545B99" w:rsidRPr="00063035">
        <w:rPr>
          <w:rFonts w:ascii="Times New Roman" w:hAnsi="Times New Roman" w:cs="Times New Roman"/>
          <w:sz w:val="24"/>
          <w:szCs w:val="24"/>
        </w:rPr>
        <w:t>:</w:t>
      </w:r>
      <w:r w:rsidRPr="00063035">
        <w:rPr>
          <w:rFonts w:ascii="Times New Roman" w:hAnsi="Times New Roman" w:cs="Times New Roman"/>
          <w:sz w:val="24"/>
          <w:szCs w:val="24"/>
        </w:rPr>
        <w:t xml:space="preserve"> </w:t>
      </w:r>
    </w:p>
    <w:p w:rsidR="00A318D7" w:rsidRPr="00063035" w:rsidRDefault="00A318D7" w:rsidP="003A12E1">
      <w:pPr>
        <w:spacing w:line="240" w:lineRule="auto"/>
        <w:ind w:left="720"/>
        <w:rPr>
          <w:rFonts w:ascii="Times New Roman" w:hAnsi="Times New Roman" w:cs="Times New Roman"/>
          <w:sz w:val="24"/>
          <w:szCs w:val="24"/>
        </w:rPr>
      </w:pPr>
      <w:r w:rsidRPr="00063035">
        <w:rPr>
          <w:rFonts w:ascii="Times New Roman" w:hAnsi="Times New Roman" w:cs="Times New Roman"/>
          <w:sz w:val="24"/>
          <w:szCs w:val="24"/>
        </w:rPr>
        <w:t>Of course, I am not describing my own evidence as limited. Indeed, my evidence comes from the IRS tax returns of every top income earner in the country over more than a decade. The data set is remarkable, including roughly 45 million observations. What I am saying in this quote is that past research on millionaire migration is limited.</w:t>
      </w:r>
    </w:p>
    <w:p w:rsidR="00545B99" w:rsidRPr="00063035" w:rsidRDefault="00A318D7" w:rsidP="003A12E1">
      <w:pPr>
        <w:spacing w:line="240" w:lineRule="auto"/>
        <w:rPr>
          <w:rFonts w:ascii="Times New Roman" w:hAnsi="Times New Roman" w:cs="Times New Roman"/>
          <w:sz w:val="24"/>
          <w:szCs w:val="24"/>
        </w:rPr>
      </w:pPr>
      <w:r w:rsidRPr="00063035">
        <w:rPr>
          <w:rFonts w:ascii="Arial" w:hAnsi="Arial" w:cs="Arial"/>
          <w:b/>
          <w:color w:val="1F3864" w:themeColor="accent5" w:themeShade="80"/>
          <w:sz w:val="21"/>
          <w:szCs w:val="21"/>
        </w:rPr>
        <w:t>Pioneer’s comment</w:t>
      </w:r>
      <w:r w:rsidRPr="00063035">
        <w:rPr>
          <w:rFonts w:ascii="Times New Roman" w:hAnsi="Times New Roman" w:cs="Times New Roman"/>
          <w:sz w:val="24"/>
          <w:szCs w:val="24"/>
        </w:rPr>
        <w:t xml:space="preserve">: </w:t>
      </w:r>
      <w:r w:rsidR="00627936" w:rsidRPr="00063035">
        <w:rPr>
          <w:rFonts w:ascii="Times New Roman" w:hAnsi="Times New Roman" w:cs="Times New Roman"/>
          <w:sz w:val="24"/>
          <w:szCs w:val="24"/>
        </w:rPr>
        <w:t xml:space="preserve">Professor Young has acknowledged </w:t>
      </w:r>
      <w:r w:rsidR="00545B99" w:rsidRPr="00063035">
        <w:rPr>
          <w:rFonts w:ascii="Times New Roman" w:hAnsi="Times New Roman" w:cs="Times New Roman"/>
          <w:sz w:val="24"/>
          <w:szCs w:val="24"/>
        </w:rPr>
        <w:t xml:space="preserve">the data </w:t>
      </w:r>
      <w:r w:rsidR="00627936" w:rsidRPr="00063035">
        <w:rPr>
          <w:rFonts w:ascii="Times New Roman" w:hAnsi="Times New Roman" w:cs="Times New Roman"/>
          <w:sz w:val="24"/>
          <w:szCs w:val="24"/>
        </w:rPr>
        <w:t>limitations Pioneer cited in our paper. In his oft-cited 2011 publication “Millionaire Migration and State Taxation of Top Incomes: Evidence from a Natural Experiment,”</w:t>
      </w:r>
      <w:r w:rsidR="00545B99" w:rsidRPr="00063035">
        <w:rPr>
          <w:rFonts w:ascii="Times New Roman" w:hAnsi="Times New Roman" w:cs="Times New Roman"/>
          <w:sz w:val="24"/>
          <w:szCs w:val="24"/>
        </w:rPr>
        <w:t xml:space="preserve"> </w:t>
      </w:r>
      <w:r w:rsidR="00627936" w:rsidRPr="00063035">
        <w:rPr>
          <w:rFonts w:ascii="Times New Roman" w:hAnsi="Times New Roman" w:cs="Times New Roman"/>
          <w:sz w:val="24"/>
          <w:szCs w:val="24"/>
        </w:rPr>
        <w:t xml:space="preserve">Young writes: </w:t>
      </w:r>
    </w:p>
    <w:p w:rsidR="00545B99" w:rsidRPr="00063035" w:rsidRDefault="00627936" w:rsidP="003A12E1">
      <w:pPr>
        <w:spacing w:line="240" w:lineRule="auto"/>
        <w:ind w:left="720"/>
        <w:rPr>
          <w:rFonts w:ascii="Times New Roman" w:hAnsi="Times New Roman" w:cs="Times New Roman"/>
          <w:sz w:val="24"/>
          <w:szCs w:val="24"/>
        </w:rPr>
      </w:pPr>
      <w:r w:rsidRPr="00063035">
        <w:rPr>
          <w:rFonts w:ascii="Times New Roman" w:hAnsi="Times New Roman" w:cs="Times New Roman"/>
          <w:sz w:val="24"/>
          <w:szCs w:val="24"/>
        </w:rPr>
        <w:t xml:space="preserve">The present difficulty in obtaining state income tax records is a severe constraint in developing knowledge about state tax policies. We were granted rare access to the New Jersey data, but could not obtain unique individual identifiers that would allow us to follow non-migrant tax filers over time. Nor have we been able to access micro-data from New York or Connecticut. We strongly advocate an initiative to “liberate” state tax data, by housing these data in a central location with a standardized confidentiality agreement </w:t>
      </w:r>
      <w:r w:rsidR="003A12E1">
        <w:rPr>
          <w:rFonts w:ascii="Times New Roman" w:hAnsi="Times New Roman" w:cs="Times New Roman"/>
          <w:sz w:val="24"/>
          <w:szCs w:val="24"/>
        </w:rPr>
        <w:t>and a process for IRB approval.</w:t>
      </w:r>
      <w:r w:rsidRPr="00063035">
        <w:rPr>
          <w:rStyle w:val="EndnoteReference"/>
          <w:rFonts w:ascii="Times New Roman" w:hAnsi="Times New Roman" w:cs="Times New Roman"/>
          <w:sz w:val="24"/>
          <w:szCs w:val="24"/>
        </w:rPr>
        <w:endnoteReference w:id="2"/>
      </w:r>
      <w:r w:rsidRPr="00063035">
        <w:rPr>
          <w:rFonts w:ascii="Times New Roman" w:hAnsi="Times New Roman" w:cs="Times New Roman"/>
          <w:sz w:val="24"/>
          <w:szCs w:val="24"/>
        </w:rPr>
        <w:t xml:space="preserve"> </w:t>
      </w:r>
    </w:p>
    <w:p w:rsidR="0065777A" w:rsidRPr="00063035" w:rsidRDefault="00627936" w:rsidP="003A12E1">
      <w:pPr>
        <w:spacing w:line="240" w:lineRule="auto"/>
        <w:rPr>
          <w:rFonts w:ascii="Times New Roman" w:hAnsi="Times New Roman" w:cs="Times New Roman"/>
          <w:sz w:val="24"/>
          <w:szCs w:val="24"/>
        </w:rPr>
      </w:pPr>
      <w:r w:rsidRPr="00063035">
        <w:rPr>
          <w:rFonts w:ascii="Times New Roman" w:hAnsi="Times New Roman" w:cs="Times New Roman"/>
          <w:sz w:val="24"/>
          <w:szCs w:val="24"/>
        </w:rPr>
        <w:t xml:space="preserve">Notwithstanding this caveat, the conclusions of that article were widely reported.  The </w:t>
      </w:r>
      <w:r w:rsidRPr="00063035">
        <w:rPr>
          <w:rFonts w:ascii="Times New Roman" w:hAnsi="Times New Roman" w:cs="Times New Roman"/>
          <w:i/>
          <w:sz w:val="24"/>
          <w:szCs w:val="24"/>
        </w:rPr>
        <w:t>Wall Street Journal</w:t>
      </w:r>
      <w:r w:rsidRPr="00063035">
        <w:rPr>
          <w:rFonts w:ascii="Times New Roman" w:hAnsi="Times New Roman" w:cs="Times New Roman"/>
          <w:sz w:val="24"/>
          <w:szCs w:val="24"/>
        </w:rPr>
        <w:t xml:space="preserve"> published an article headlined, “Millionaire Tax Didn't Chase the Rich from </w:t>
      </w:r>
      <w:r w:rsidRPr="00063035">
        <w:rPr>
          <w:rFonts w:ascii="Times New Roman" w:hAnsi="Times New Roman" w:cs="Times New Roman"/>
          <w:bCs/>
          <w:sz w:val="24"/>
          <w:szCs w:val="24"/>
        </w:rPr>
        <w:t>New Jersey</w:t>
      </w:r>
      <w:r w:rsidRPr="00063035">
        <w:rPr>
          <w:rFonts w:ascii="Times New Roman" w:hAnsi="Times New Roman" w:cs="Times New Roman"/>
          <w:sz w:val="24"/>
          <w:szCs w:val="24"/>
        </w:rPr>
        <w:t xml:space="preserve">, Study Says” that quotes Professor Young’s report as follows, “This </w:t>
      </w:r>
      <w:r w:rsidRPr="00063035">
        <w:rPr>
          <w:rFonts w:ascii="Times New Roman" w:hAnsi="Times New Roman" w:cs="Times New Roman"/>
          <w:sz w:val="24"/>
          <w:szCs w:val="24"/>
        </w:rPr>
        <w:lastRenderedPageBreak/>
        <w:t>suggests that the policy effect is close to zero.”</w:t>
      </w:r>
      <w:r w:rsidRPr="00063035">
        <w:rPr>
          <w:rStyle w:val="EndnoteReference"/>
          <w:rFonts w:ascii="Times New Roman" w:hAnsi="Times New Roman" w:cs="Times New Roman"/>
          <w:sz w:val="24"/>
          <w:szCs w:val="24"/>
        </w:rPr>
        <w:endnoteReference w:id="3"/>
      </w:r>
      <w:r w:rsidRPr="00063035">
        <w:rPr>
          <w:rFonts w:ascii="Times New Roman" w:hAnsi="Times New Roman" w:cs="Times New Roman"/>
          <w:sz w:val="24"/>
          <w:szCs w:val="24"/>
        </w:rPr>
        <w:t xml:space="preserve"> The</w:t>
      </w:r>
      <w:r w:rsidRPr="00063035">
        <w:rPr>
          <w:rFonts w:ascii="Times New Roman" w:hAnsi="Times New Roman" w:cs="Times New Roman"/>
          <w:i/>
          <w:sz w:val="24"/>
          <w:szCs w:val="24"/>
        </w:rPr>
        <w:t xml:space="preserve"> New York Times</w:t>
      </w:r>
      <w:r w:rsidRPr="00063035">
        <w:rPr>
          <w:rFonts w:ascii="Times New Roman" w:hAnsi="Times New Roman" w:cs="Times New Roman"/>
          <w:sz w:val="24"/>
          <w:szCs w:val="24"/>
        </w:rPr>
        <w:t xml:space="preserve"> wrote an article headlined </w:t>
      </w:r>
      <w:r w:rsidR="0065777A" w:rsidRPr="00063035">
        <w:rPr>
          <w:rFonts w:ascii="Times New Roman" w:hAnsi="Times New Roman" w:cs="Times New Roman"/>
          <w:sz w:val="24"/>
          <w:szCs w:val="24"/>
        </w:rPr>
        <w:t>“</w:t>
      </w:r>
      <w:r w:rsidRPr="00063035">
        <w:rPr>
          <w:rFonts w:ascii="Times New Roman" w:hAnsi="Times New Roman" w:cs="Times New Roman"/>
          <w:sz w:val="24"/>
          <w:szCs w:val="24"/>
        </w:rPr>
        <w:t>The Myth of the Rich Who Flee from Taxes</w:t>
      </w:r>
      <w:r w:rsidR="0065777A" w:rsidRPr="00063035">
        <w:rPr>
          <w:rFonts w:ascii="Times New Roman" w:hAnsi="Times New Roman" w:cs="Times New Roman"/>
          <w:sz w:val="24"/>
          <w:szCs w:val="24"/>
        </w:rPr>
        <w:t>”</w:t>
      </w:r>
      <w:r w:rsidRPr="00063035">
        <w:rPr>
          <w:rFonts w:ascii="Times New Roman" w:hAnsi="Times New Roman" w:cs="Times New Roman"/>
          <w:sz w:val="24"/>
          <w:szCs w:val="24"/>
        </w:rPr>
        <w:t xml:space="preserve"> that quotes Professor Young as saying, “It’s very clear that, over all, modest changes in top tax rates do not affect millionaire migration. Neither tax increases nor tax cuts on the rich have affected their migration rates.”</w:t>
      </w:r>
      <w:r w:rsidRPr="00063035">
        <w:rPr>
          <w:rStyle w:val="EndnoteReference"/>
          <w:rFonts w:ascii="Times New Roman" w:hAnsi="Times New Roman" w:cs="Times New Roman"/>
          <w:sz w:val="24"/>
          <w:szCs w:val="24"/>
        </w:rPr>
        <w:endnoteReference w:id="4"/>
      </w:r>
      <w:r w:rsidRPr="00063035">
        <w:rPr>
          <w:rFonts w:ascii="Times New Roman" w:hAnsi="Times New Roman" w:cs="Times New Roman"/>
          <w:sz w:val="24"/>
          <w:szCs w:val="24"/>
        </w:rPr>
        <w:t xml:space="preserve"> </w:t>
      </w:r>
    </w:p>
    <w:p w:rsidR="00735FA9" w:rsidRPr="00063035" w:rsidRDefault="00627936" w:rsidP="003A12E1">
      <w:pPr>
        <w:spacing w:after="300" w:line="240" w:lineRule="auto"/>
        <w:rPr>
          <w:rFonts w:ascii="Times New Roman" w:hAnsi="Times New Roman" w:cs="Times New Roman"/>
          <w:sz w:val="24"/>
          <w:szCs w:val="24"/>
        </w:rPr>
      </w:pPr>
      <w:r w:rsidRPr="00063035">
        <w:rPr>
          <w:rFonts w:ascii="Times New Roman" w:hAnsi="Times New Roman" w:cs="Times New Roman"/>
          <w:sz w:val="24"/>
          <w:szCs w:val="24"/>
        </w:rPr>
        <w:t>Pioneer’s paper points out that the</w:t>
      </w:r>
      <w:r w:rsidR="0065777A" w:rsidRPr="00063035">
        <w:rPr>
          <w:rFonts w:ascii="Times New Roman" w:hAnsi="Times New Roman" w:cs="Times New Roman"/>
          <w:sz w:val="24"/>
          <w:szCs w:val="24"/>
        </w:rPr>
        <w:t>se</w:t>
      </w:r>
      <w:r w:rsidRPr="00063035">
        <w:rPr>
          <w:rFonts w:ascii="Times New Roman" w:hAnsi="Times New Roman" w:cs="Times New Roman"/>
          <w:sz w:val="24"/>
          <w:szCs w:val="24"/>
        </w:rPr>
        <w:t xml:space="preserve"> important caveats rarely make it into news articles. </w:t>
      </w:r>
      <w:r w:rsidR="00A318D7" w:rsidRPr="00063035">
        <w:rPr>
          <w:rFonts w:ascii="Times New Roman" w:hAnsi="Times New Roman" w:cs="Times New Roman"/>
          <w:sz w:val="24"/>
          <w:szCs w:val="24"/>
        </w:rPr>
        <w:t xml:space="preserve">Professor Young describes his data set as remarkable, but ignores </w:t>
      </w:r>
      <w:r w:rsidR="007E1CFA" w:rsidRPr="00063035">
        <w:rPr>
          <w:rFonts w:ascii="Times New Roman" w:hAnsi="Times New Roman" w:cs="Times New Roman"/>
          <w:sz w:val="24"/>
          <w:szCs w:val="24"/>
        </w:rPr>
        <w:t>Pioneer’s criticism</w:t>
      </w:r>
      <w:r w:rsidR="0065777A" w:rsidRPr="00063035">
        <w:rPr>
          <w:rFonts w:ascii="Times New Roman" w:hAnsi="Times New Roman" w:cs="Times New Roman"/>
          <w:sz w:val="24"/>
          <w:szCs w:val="24"/>
        </w:rPr>
        <w:t xml:space="preserve"> that it </w:t>
      </w:r>
      <w:r w:rsidR="007E1CFA" w:rsidRPr="00063035">
        <w:rPr>
          <w:rFonts w:ascii="Times New Roman" w:hAnsi="Times New Roman" w:cs="Times New Roman"/>
          <w:sz w:val="24"/>
          <w:szCs w:val="24"/>
        </w:rPr>
        <w:t xml:space="preserve">does not include </w:t>
      </w:r>
      <w:r w:rsidR="00A318D7" w:rsidRPr="00063035">
        <w:rPr>
          <w:rFonts w:ascii="Times New Roman" w:hAnsi="Times New Roman" w:cs="Times New Roman"/>
          <w:sz w:val="24"/>
          <w:szCs w:val="24"/>
        </w:rPr>
        <w:t xml:space="preserve">information about </w:t>
      </w:r>
      <w:r w:rsidR="007E1CFA" w:rsidRPr="00063035">
        <w:rPr>
          <w:rFonts w:ascii="Times New Roman" w:hAnsi="Times New Roman" w:cs="Times New Roman"/>
          <w:sz w:val="24"/>
          <w:szCs w:val="24"/>
        </w:rPr>
        <w:t xml:space="preserve">the </w:t>
      </w:r>
      <w:r w:rsidR="00A318D7" w:rsidRPr="00063035">
        <w:rPr>
          <w:rFonts w:ascii="Times New Roman" w:hAnsi="Times New Roman" w:cs="Times New Roman"/>
          <w:sz w:val="24"/>
          <w:szCs w:val="24"/>
        </w:rPr>
        <w:t xml:space="preserve">migration </w:t>
      </w:r>
      <w:r w:rsidR="007E1CFA" w:rsidRPr="00063035">
        <w:rPr>
          <w:rFonts w:ascii="Times New Roman" w:hAnsi="Times New Roman" w:cs="Times New Roman"/>
          <w:sz w:val="24"/>
          <w:szCs w:val="24"/>
        </w:rPr>
        <w:t xml:space="preserve">patterns </w:t>
      </w:r>
      <w:r w:rsidR="00A318D7" w:rsidRPr="00063035">
        <w:rPr>
          <w:rFonts w:ascii="Times New Roman" w:hAnsi="Times New Roman" w:cs="Times New Roman"/>
          <w:sz w:val="24"/>
          <w:szCs w:val="24"/>
        </w:rPr>
        <w:t>of more than 13</w:t>
      </w:r>
      <w:r w:rsidR="00BF2DFA" w:rsidRPr="00063035">
        <w:rPr>
          <w:rFonts w:ascii="Times New Roman" w:hAnsi="Times New Roman" w:cs="Times New Roman"/>
          <w:sz w:val="24"/>
          <w:szCs w:val="24"/>
        </w:rPr>
        <w:t>.7</w:t>
      </w:r>
      <w:r w:rsidR="00A318D7" w:rsidRPr="00063035">
        <w:rPr>
          <w:rFonts w:ascii="Times New Roman" w:hAnsi="Times New Roman" w:cs="Times New Roman"/>
          <w:sz w:val="24"/>
          <w:szCs w:val="24"/>
        </w:rPr>
        <w:t xml:space="preserve"> million net-worth millionaires</w:t>
      </w:r>
      <w:r w:rsidR="007E1CFA" w:rsidRPr="00063035">
        <w:rPr>
          <w:rFonts w:ascii="Times New Roman" w:hAnsi="Times New Roman" w:cs="Times New Roman"/>
          <w:sz w:val="24"/>
          <w:szCs w:val="24"/>
        </w:rPr>
        <w:t xml:space="preserve"> in the U.S.</w:t>
      </w:r>
      <w:r w:rsidR="00807FE4" w:rsidRPr="00063035">
        <w:rPr>
          <w:rFonts w:ascii="Times New Roman" w:hAnsi="Times New Roman" w:cs="Times New Roman"/>
          <w:sz w:val="24"/>
          <w:szCs w:val="24"/>
        </w:rPr>
        <w:t xml:space="preserve"> </w:t>
      </w:r>
      <w:r w:rsidR="00BF2DFA" w:rsidRPr="00063035">
        <w:rPr>
          <w:rFonts w:ascii="Times New Roman" w:hAnsi="Times New Roman" w:cs="Times New Roman"/>
          <w:sz w:val="24"/>
          <w:szCs w:val="24"/>
        </w:rPr>
        <w:t xml:space="preserve">who earned less than $1 million in 2016 </w:t>
      </w:r>
      <w:r w:rsidR="00807FE4" w:rsidRPr="00063035">
        <w:rPr>
          <w:rFonts w:ascii="Times New Roman" w:hAnsi="Times New Roman" w:cs="Times New Roman"/>
          <w:sz w:val="24"/>
          <w:szCs w:val="24"/>
        </w:rPr>
        <w:t xml:space="preserve">and </w:t>
      </w:r>
      <w:r w:rsidR="00BF2DFA" w:rsidRPr="00063035">
        <w:rPr>
          <w:rFonts w:ascii="Times New Roman" w:hAnsi="Times New Roman" w:cs="Times New Roman"/>
          <w:sz w:val="24"/>
          <w:szCs w:val="24"/>
        </w:rPr>
        <w:t xml:space="preserve">about whom no federal migration data is available, or about 1.9 million households with net worth of $5 million or more who earned less than $1 million annually, a fact acknowledged by Professor Young earlier in his response. </w:t>
      </w:r>
      <w:r w:rsidR="000B36DC" w:rsidRPr="00063035">
        <w:rPr>
          <w:rFonts w:ascii="Times New Roman" w:hAnsi="Times New Roman" w:cs="Times New Roman"/>
          <w:sz w:val="24"/>
          <w:szCs w:val="24"/>
        </w:rPr>
        <w:t>Professor Young’s data excludes high</w:t>
      </w:r>
      <w:r w:rsidR="0065777A" w:rsidRPr="00063035">
        <w:rPr>
          <w:rFonts w:ascii="Times New Roman" w:hAnsi="Times New Roman" w:cs="Times New Roman"/>
          <w:sz w:val="24"/>
          <w:szCs w:val="24"/>
        </w:rPr>
        <w:t xml:space="preserve"> </w:t>
      </w:r>
      <w:r w:rsidR="000B36DC" w:rsidRPr="00063035">
        <w:rPr>
          <w:rFonts w:ascii="Times New Roman" w:hAnsi="Times New Roman" w:cs="Times New Roman"/>
          <w:sz w:val="24"/>
          <w:szCs w:val="24"/>
        </w:rPr>
        <w:t>net</w:t>
      </w:r>
      <w:r w:rsidR="0065777A" w:rsidRPr="00063035">
        <w:rPr>
          <w:rFonts w:ascii="Times New Roman" w:hAnsi="Times New Roman" w:cs="Times New Roman"/>
          <w:sz w:val="24"/>
          <w:szCs w:val="24"/>
        </w:rPr>
        <w:t>-</w:t>
      </w:r>
      <w:r w:rsidR="000B36DC" w:rsidRPr="00063035">
        <w:rPr>
          <w:rFonts w:ascii="Times New Roman" w:hAnsi="Times New Roman" w:cs="Times New Roman"/>
          <w:sz w:val="24"/>
          <w:szCs w:val="24"/>
        </w:rPr>
        <w:t>worth individuals with cumulative net</w:t>
      </w:r>
      <w:r w:rsidR="0065777A" w:rsidRPr="00063035">
        <w:rPr>
          <w:rFonts w:ascii="Times New Roman" w:hAnsi="Times New Roman" w:cs="Times New Roman"/>
          <w:sz w:val="24"/>
          <w:szCs w:val="24"/>
        </w:rPr>
        <w:t xml:space="preserve"> </w:t>
      </w:r>
      <w:r w:rsidR="000B36DC" w:rsidRPr="00063035">
        <w:rPr>
          <w:rFonts w:ascii="Times New Roman" w:hAnsi="Times New Roman" w:cs="Times New Roman"/>
          <w:sz w:val="24"/>
          <w:szCs w:val="24"/>
        </w:rPr>
        <w:t xml:space="preserve">worth of more than $45 trillion, as estimated by the Federal Reserve Board. </w:t>
      </w:r>
      <w:r w:rsidR="00BF2DFA" w:rsidRPr="00063035">
        <w:rPr>
          <w:rFonts w:ascii="Times New Roman" w:hAnsi="Times New Roman" w:cs="Times New Roman"/>
          <w:sz w:val="24"/>
          <w:szCs w:val="24"/>
        </w:rPr>
        <w:t>His data does not include information about high</w:t>
      </w:r>
      <w:r w:rsidR="0065777A" w:rsidRPr="00063035">
        <w:rPr>
          <w:rFonts w:ascii="Times New Roman" w:hAnsi="Times New Roman" w:cs="Times New Roman"/>
          <w:sz w:val="24"/>
          <w:szCs w:val="24"/>
        </w:rPr>
        <w:t xml:space="preserve"> </w:t>
      </w:r>
      <w:r w:rsidR="00BF2DFA" w:rsidRPr="00063035">
        <w:rPr>
          <w:rFonts w:ascii="Times New Roman" w:hAnsi="Times New Roman" w:cs="Times New Roman"/>
          <w:sz w:val="24"/>
          <w:szCs w:val="24"/>
        </w:rPr>
        <w:t>net</w:t>
      </w:r>
      <w:r w:rsidR="0065777A" w:rsidRPr="00063035">
        <w:rPr>
          <w:rFonts w:ascii="Times New Roman" w:hAnsi="Times New Roman" w:cs="Times New Roman"/>
          <w:sz w:val="24"/>
          <w:szCs w:val="24"/>
        </w:rPr>
        <w:t>-</w:t>
      </w:r>
      <w:r w:rsidR="00BF2DFA" w:rsidRPr="00063035">
        <w:rPr>
          <w:rFonts w:ascii="Times New Roman" w:hAnsi="Times New Roman" w:cs="Times New Roman"/>
          <w:sz w:val="24"/>
          <w:szCs w:val="24"/>
        </w:rPr>
        <w:t>worth individuals who relocate to another state and then take large capital gains, or about those who earn more than $1 million annually after relocating to another state, or those who migrate to avoid state estate taxe</w:t>
      </w:r>
      <w:r w:rsidR="000B36DC" w:rsidRPr="00063035">
        <w:rPr>
          <w:rFonts w:ascii="Times New Roman" w:hAnsi="Times New Roman" w:cs="Times New Roman"/>
          <w:sz w:val="24"/>
          <w:szCs w:val="24"/>
        </w:rPr>
        <w:t xml:space="preserve">s.  Professor Young acknowledges that this information is not available, but brushes off Pioneer’s criticisms by stating that his data set is remarkable. An objective assessment would conclude that it is very limited. </w:t>
      </w:r>
    </w:p>
    <w:p w:rsidR="00355FCB" w:rsidRPr="00DC0C0F" w:rsidRDefault="0049314F" w:rsidP="00DC0C0F">
      <w:pPr>
        <w:spacing w:after="120" w:line="240" w:lineRule="auto"/>
        <w:rPr>
          <w:rFonts w:ascii="Arial" w:hAnsi="Arial" w:cs="Arial"/>
          <w:b/>
          <w:color w:val="1F3864" w:themeColor="accent5" w:themeShade="80"/>
          <w:sz w:val="23"/>
          <w:szCs w:val="23"/>
        </w:rPr>
      </w:pPr>
      <w:r w:rsidRPr="00DC0C0F">
        <w:rPr>
          <w:rFonts w:ascii="Arial" w:hAnsi="Arial" w:cs="Arial"/>
          <w:b/>
          <w:color w:val="1F3864" w:themeColor="accent5" w:themeShade="80"/>
          <w:sz w:val="23"/>
          <w:szCs w:val="23"/>
        </w:rPr>
        <w:t>Pioneer’s Reason 8: Professor Young disregards the cumulative effect of millionaire migration.</w:t>
      </w:r>
    </w:p>
    <w:p w:rsidR="0049314F" w:rsidRPr="00063035" w:rsidRDefault="0049314F" w:rsidP="003A12E1">
      <w:pPr>
        <w:spacing w:line="240" w:lineRule="auto"/>
        <w:rPr>
          <w:rFonts w:ascii="Times New Roman" w:hAnsi="Times New Roman" w:cs="Times New Roman"/>
          <w:sz w:val="24"/>
          <w:szCs w:val="24"/>
        </w:rPr>
      </w:pPr>
      <w:r w:rsidRPr="00063035">
        <w:rPr>
          <w:rFonts w:ascii="Times New Roman" w:hAnsi="Times New Roman" w:cs="Times New Roman"/>
          <w:sz w:val="24"/>
          <w:szCs w:val="24"/>
        </w:rPr>
        <w:t xml:space="preserve">Professor Young responds to Reason 8 by </w:t>
      </w:r>
      <w:r w:rsidR="002C7543" w:rsidRPr="00063035">
        <w:rPr>
          <w:rFonts w:ascii="Times New Roman" w:hAnsi="Times New Roman" w:cs="Times New Roman"/>
          <w:sz w:val="24"/>
          <w:szCs w:val="24"/>
        </w:rPr>
        <w:t>wri</w:t>
      </w:r>
      <w:r w:rsidRPr="00063035">
        <w:rPr>
          <w:rFonts w:ascii="Times New Roman" w:hAnsi="Times New Roman" w:cs="Times New Roman"/>
          <w:sz w:val="24"/>
          <w:szCs w:val="24"/>
        </w:rPr>
        <w:t>ting</w:t>
      </w:r>
      <w:r w:rsidR="002C7543" w:rsidRPr="00063035">
        <w:rPr>
          <w:rFonts w:ascii="Times New Roman" w:hAnsi="Times New Roman" w:cs="Times New Roman"/>
          <w:sz w:val="24"/>
          <w:szCs w:val="24"/>
        </w:rPr>
        <w:t>, “</w:t>
      </w:r>
      <w:r w:rsidRPr="00063035">
        <w:rPr>
          <w:rFonts w:ascii="Times New Roman" w:hAnsi="Times New Roman" w:cs="Times New Roman"/>
          <w:sz w:val="24"/>
          <w:szCs w:val="24"/>
        </w:rPr>
        <w:t>This argument about cumulative effects comes, as Sullivan notes, from a critique and replication of my work on millionaire migration in New Jersey – in an a study by the then</w:t>
      </w:r>
      <w:r w:rsidR="002C7543" w:rsidRPr="00063035">
        <w:rPr>
          <w:rFonts w:ascii="Times New Roman" w:hAnsi="Times New Roman" w:cs="Times New Roman"/>
          <w:sz w:val="24"/>
          <w:szCs w:val="24"/>
        </w:rPr>
        <w:t>-</w:t>
      </w:r>
      <w:r w:rsidRPr="00063035">
        <w:rPr>
          <w:rFonts w:ascii="Times New Roman" w:hAnsi="Times New Roman" w:cs="Times New Roman"/>
          <w:sz w:val="24"/>
          <w:szCs w:val="24"/>
        </w:rPr>
        <w:t>Chief Economist of New Jersey, Charles Steindel and co-authors (Cohen, Lai, and Steindel 2015).</w:t>
      </w:r>
      <w:r w:rsidR="002C7543" w:rsidRPr="00063035">
        <w:rPr>
          <w:rFonts w:ascii="Times New Roman" w:hAnsi="Times New Roman" w:cs="Times New Roman"/>
          <w:sz w:val="24"/>
          <w:szCs w:val="24"/>
        </w:rPr>
        <w:t>”</w:t>
      </w:r>
    </w:p>
    <w:p w:rsidR="002C7543" w:rsidRPr="00063035" w:rsidRDefault="00234847" w:rsidP="003A12E1">
      <w:pPr>
        <w:spacing w:line="240" w:lineRule="auto"/>
        <w:rPr>
          <w:rFonts w:ascii="Times New Roman" w:hAnsi="Times New Roman" w:cs="Times New Roman"/>
          <w:sz w:val="24"/>
          <w:szCs w:val="24"/>
        </w:rPr>
      </w:pPr>
      <w:r w:rsidRPr="00063035">
        <w:rPr>
          <w:rFonts w:ascii="Arial" w:hAnsi="Arial" w:cs="Arial"/>
          <w:b/>
          <w:color w:val="1F3864" w:themeColor="accent5" w:themeShade="80"/>
          <w:sz w:val="21"/>
          <w:szCs w:val="21"/>
        </w:rPr>
        <w:t>Pioneer’s comment</w:t>
      </w:r>
      <w:r w:rsidRPr="00063035">
        <w:rPr>
          <w:rFonts w:ascii="Times New Roman" w:hAnsi="Times New Roman" w:cs="Times New Roman"/>
          <w:sz w:val="24"/>
          <w:szCs w:val="24"/>
        </w:rPr>
        <w:t>: Professor Young’s response never addresses the criticism raised by Pioneer; i.e., that his research</w:t>
      </w:r>
      <w:r w:rsidR="002C7543" w:rsidRPr="00063035">
        <w:rPr>
          <w:rFonts w:ascii="Times New Roman" w:hAnsi="Times New Roman" w:cs="Times New Roman"/>
          <w:sz w:val="24"/>
          <w:szCs w:val="24"/>
        </w:rPr>
        <w:t xml:space="preserve"> </w:t>
      </w:r>
      <w:r w:rsidR="002D4FD0" w:rsidRPr="00063035">
        <w:rPr>
          <w:rFonts w:ascii="Times New Roman" w:hAnsi="Times New Roman" w:cs="Times New Roman"/>
          <w:sz w:val="24"/>
          <w:szCs w:val="24"/>
        </w:rPr>
        <w:t>analy</w:t>
      </w:r>
      <w:r w:rsidR="002C7543" w:rsidRPr="00063035">
        <w:rPr>
          <w:rFonts w:ascii="Times New Roman" w:hAnsi="Times New Roman" w:cs="Times New Roman"/>
          <w:sz w:val="24"/>
          <w:szCs w:val="24"/>
        </w:rPr>
        <w:t>zes</w:t>
      </w:r>
      <w:r w:rsidRPr="00063035">
        <w:rPr>
          <w:rFonts w:ascii="Times New Roman" w:hAnsi="Times New Roman" w:cs="Times New Roman"/>
          <w:sz w:val="24"/>
          <w:szCs w:val="24"/>
        </w:rPr>
        <w:t xml:space="preserve"> year-by-year migration but does not</w:t>
      </w:r>
      <w:r w:rsidR="002D4FD0" w:rsidRPr="00063035">
        <w:rPr>
          <w:rFonts w:ascii="Times New Roman" w:hAnsi="Times New Roman" w:cs="Times New Roman"/>
          <w:sz w:val="24"/>
          <w:szCs w:val="24"/>
        </w:rPr>
        <w:t xml:space="preserve"> report</w:t>
      </w:r>
      <w:r w:rsidRPr="00063035">
        <w:rPr>
          <w:rFonts w:ascii="Times New Roman" w:hAnsi="Times New Roman" w:cs="Times New Roman"/>
          <w:sz w:val="24"/>
          <w:szCs w:val="24"/>
        </w:rPr>
        <w:t xml:space="preserve"> data about the cumulative ef</w:t>
      </w:r>
      <w:r w:rsidR="002D4FD0" w:rsidRPr="00063035">
        <w:rPr>
          <w:rFonts w:ascii="Times New Roman" w:hAnsi="Times New Roman" w:cs="Times New Roman"/>
          <w:sz w:val="24"/>
          <w:szCs w:val="24"/>
        </w:rPr>
        <w:t xml:space="preserve">fect of taxpayers who move to </w:t>
      </w:r>
      <w:r w:rsidRPr="00063035">
        <w:rPr>
          <w:rFonts w:ascii="Times New Roman" w:hAnsi="Times New Roman" w:cs="Times New Roman"/>
          <w:sz w:val="24"/>
          <w:szCs w:val="24"/>
        </w:rPr>
        <w:t xml:space="preserve">other states. </w:t>
      </w:r>
      <w:r w:rsidR="002D4FD0" w:rsidRPr="00063035">
        <w:rPr>
          <w:rFonts w:ascii="Times New Roman" w:hAnsi="Times New Roman" w:cs="Times New Roman"/>
          <w:sz w:val="24"/>
          <w:szCs w:val="24"/>
        </w:rPr>
        <w:t>Our paper states that i</w:t>
      </w:r>
      <w:r w:rsidRPr="00063035">
        <w:rPr>
          <w:rFonts w:ascii="Times New Roman" w:hAnsi="Times New Roman" w:cs="Times New Roman"/>
          <w:sz w:val="24"/>
          <w:szCs w:val="24"/>
        </w:rPr>
        <w:t>f net out</w:t>
      </w:r>
      <w:r w:rsidR="002C7543" w:rsidRPr="00063035">
        <w:rPr>
          <w:rFonts w:ascii="Times New Roman" w:hAnsi="Times New Roman" w:cs="Times New Roman"/>
          <w:sz w:val="24"/>
          <w:szCs w:val="24"/>
        </w:rPr>
        <w:t>-</w:t>
      </w:r>
      <w:r w:rsidRPr="00063035">
        <w:rPr>
          <w:rFonts w:ascii="Times New Roman" w:hAnsi="Times New Roman" w:cs="Times New Roman"/>
          <w:sz w:val="24"/>
          <w:szCs w:val="24"/>
        </w:rPr>
        <w:t xml:space="preserve">migration of high-income earners amounts to </w:t>
      </w:r>
      <w:r w:rsidR="002C7543" w:rsidRPr="00063035">
        <w:rPr>
          <w:rFonts w:ascii="Times New Roman" w:hAnsi="Times New Roman" w:cs="Times New Roman"/>
          <w:sz w:val="24"/>
          <w:szCs w:val="24"/>
        </w:rPr>
        <w:t>1-2</w:t>
      </w:r>
      <w:r w:rsidRPr="00063035">
        <w:rPr>
          <w:rFonts w:ascii="Times New Roman" w:hAnsi="Times New Roman" w:cs="Times New Roman"/>
          <w:sz w:val="24"/>
          <w:szCs w:val="24"/>
        </w:rPr>
        <w:t xml:space="preserve"> percent each year going forward, the resulting loss of revenue would add up to a lot over time. We present a sensitivity analysis showing that If 1 percent net out-migration occurs in Massachusetts, the resulting accumulating state loss of 5.1 percent income taxes and 4 percent surtaxes will virtually eliminate the net benefit of the surtax by 2044. </w:t>
      </w:r>
    </w:p>
    <w:p w:rsidR="00234847" w:rsidRPr="00063035" w:rsidRDefault="002D4FD0" w:rsidP="003A12E1">
      <w:pPr>
        <w:spacing w:after="300" w:line="240" w:lineRule="auto"/>
        <w:rPr>
          <w:rFonts w:ascii="Times New Roman" w:hAnsi="Times New Roman" w:cs="Times New Roman"/>
          <w:sz w:val="24"/>
          <w:szCs w:val="24"/>
        </w:rPr>
      </w:pPr>
      <w:r w:rsidRPr="00063035">
        <w:rPr>
          <w:rFonts w:ascii="Times New Roman" w:hAnsi="Times New Roman" w:cs="Times New Roman"/>
          <w:sz w:val="24"/>
          <w:szCs w:val="24"/>
        </w:rPr>
        <w:t>His much-publicized emphasis on the small percentage of millionaires who migrate does not come with an explanation that these taxpayers pay a hugely disproportionate share of total taxes. Our paper presented this statistic, which Professor Young cho</w:t>
      </w:r>
      <w:r w:rsidR="003B538F" w:rsidRPr="00063035">
        <w:rPr>
          <w:rFonts w:ascii="Times New Roman" w:hAnsi="Times New Roman" w:cs="Times New Roman"/>
          <w:sz w:val="24"/>
          <w:szCs w:val="24"/>
        </w:rPr>
        <w:t>o</w:t>
      </w:r>
      <w:r w:rsidRPr="00063035">
        <w:rPr>
          <w:rFonts w:ascii="Times New Roman" w:hAnsi="Times New Roman" w:cs="Times New Roman"/>
          <w:sz w:val="24"/>
          <w:szCs w:val="24"/>
        </w:rPr>
        <w:t>ses not to address in his response: “The 438,370 U.S. taxpayers that Professor Young defines as millionaires in 2015 amounted to 0.4 percent of all U.S. taxpayers but paid 27.7 percent of all federal taxes.</w:t>
      </w:r>
      <w:r w:rsidR="003B538F" w:rsidRPr="00063035">
        <w:rPr>
          <w:rFonts w:ascii="Times New Roman" w:hAnsi="Times New Roman" w:cs="Times New Roman"/>
          <w:sz w:val="24"/>
          <w:szCs w:val="24"/>
        </w:rPr>
        <w:t xml:space="preserve"> </w:t>
      </w:r>
      <w:r w:rsidRPr="00063035">
        <w:rPr>
          <w:rFonts w:ascii="Times New Roman" w:hAnsi="Times New Roman" w:cs="Times New Roman"/>
          <w:sz w:val="24"/>
          <w:szCs w:val="24"/>
        </w:rPr>
        <w:t>While 2.4 percent of these so-called millionaires sounds like a small amount, the income taxes paid by them are not small.</w:t>
      </w:r>
      <w:r w:rsidR="002C7543" w:rsidRPr="00063035">
        <w:rPr>
          <w:rFonts w:ascii="Times New Roman" w:hAnsi="Times New Roman" w:cs="Times New Roman"/>
          <w:sz w:val="24"/>
          <w:szCs w:val="24"/>
        </w:rPr>
        <w:t>”</w:t>
      </w:r>
      <w:r w:rsidRPr="00063035">
        <w:rPr>
          <w:rFonts w:ascii="Times New Roman" w:hAnsi="Times New Roman" w:cs="Times New Roman"/>
          <w:sz w:val="24"/>
          <w:szCs w:val="24"/>
        </w:rPr>
        <w:t xml:space="preserve">  Professor Young </w:t>
      </w:r>
      <w:r w:rsidR="003B538F" w:rsidRPr="00063035">
        <w:rPr>
          <w:rFonts w:ascii="Times New Roman" w:hAnsi="Times New Roman" w:cs="Times New Roman"/>
          <w:sz w:val="24"/>
          <w:szCs w:val="24"/>
        </w:rPr>
        <w:t>instead chooses</w:t>
      </w:r>
      <w:r w:rsidRPr="00063035">
        <w:rPr>
          <w:rFonts w:ascii="Times New Roman" w:hAnsi="Times New Roman" w:cs="Times New Roman"/>
          <w:sz w:val="24"/>
          <w:szCs w:val="24"/>
        </w:rPr>
        <w:t xml:space="preserve"> to characterize the criticism as coming </w:t>
      </w:r>
      <w:r w:rsidR="003B538F" w:rsidRPr="00063035">
        <w:rPr>
          <w:rFonts w:ascii="Times New Roman" w:hAnsi="Times New Roman" w:cs="Times New Roman"/>
          <w:sz w:val="24"/>
          <w:szCs w:val="24"/>
        </w:rPr>
        <w:t>from a</w:t>
      </w:r>
      <w:r w:rsidR="002C7543" w:rsidRPr="00063035">
        <w:rPr>
          <w:rFonts w:ascii="Times New Roman" w:hAnsi="Times New Roman" w:cs="Times New Roman"/>
          <w:sz w:val="24"/>
          <w:szCs w:val="24"/>
        </w:rPr>
        <w:t xml:space="preserve"> 2015</w:t>
      </w:r>
      <w:r w:rsidR="003B538F" w:rsidRPr="00063035">
        <w:rPr>
          <w:rFonts w:ascii="Times New Roman" w:hAnsi="Times New Roman" w:cs="Times New Roman"/>
          <w:sz w:val="24"/>
          <w:szCs w:val="24"/>
        </w:rPr>
        <w:t xml:space="preserve"> study by the Chief Economist of New Jersey. That is incorrect. The criticism we raise about Professor Young’s research goes far beyond the points raised in that paper.  </w:t>
      </w:r>
    </w:p>
    <w:p w:rsidR="00063035" w:rsidRPr="00DC0C0F" w:rsidRDefault="002C7543" w:rsidP="00DC0C0F">
      <w:pPr>
        <w:spacing w:after="120" w:line="240" w:lineRule="auto"/>
        <w:rPr>
          <w:rFonts w:ascii="Arial" w:hAnsi="Arial" w:cs="Arial"/>
          <w:b/>
          <w:color w:val="1F3864" w:themeColor="accent5" w:themeShade="80"/>
          <w:sz w:val="23"/>
          <w:szCs w:val="23"/>
        </w:rPr>
      </w:pPr>
      <w:r w:rsidRPr="00DC0C0F">
        <w:rPr>
          <w:rFonts w:ascii="Arial" w:hAnsi="Arial" w:cs="Arial"/>
          <w:b/>
          <w:color w:val="1F3864" w:themeColor="accent5" w:themeShade="80"/>
          <w:sz w:val="23"/>
          <w:szCs w:val="23"/>
        </w:rPr>
        <w:lastRenderedPageBreak/>
        <w:t>Final</w:t>
      </w:r>
      <w:r w:rsidR="00063035" w:rsidRPr="00DC0C0F">
        <w:rPr>
          <w:rFonts w:ascii="Arial" w:hAnsi="Arial" w:cs="Arial"/>
          <w:b/>
          <w:color w:val="1F3864" w:themeColor="accent5" w:themeShade="80"/>
          <w:sz w:val="23"/>
          <w:szCs w:val="23"/>
        </w:rPr>
        <w:t>ly, Pioneer did not misrepresent Professor Young’s own statements on global wealth taxes.</w:t>
      </w:r>
      <w:r w:rsidRPr="00DC0C0F">
        <w:rPr>
          <w:rFonts w:ascii="Arial" w:hAnsi="Arial" w:cs="Arial"/>
          <w:b/>
          <w:color w:val="1F3864" w:themeColor="accent5" w:themeShade="80"/>
          <w:sz w:val="23"/>
          <w:szCs w:val="23"/>
        </w:rPr>
        <w:t xml:space="preserve"> </w:t>
      </w:r>
    </w:p>
    <w:p w:rsidR="002C7543" w:rsidRPr="003A12E1" w:rsidRDefault="002C7543" w:rsidP="00063035">
      <w:pPr>
        <w:spacing w:line="240" w:lineRule="auto"/>
        <w:rPr>
          <w:rFonts w:ascii="Times New Roman" w:hAnsi="Times New Roman" w:cs="Times New Roman"/>
          <w:sz w:val="24"/>
          <w:szCs w:val="24"/>
        </w:rPr>
      </w:pPr>
      <w:r w:rsidRPr="00063035">
        <w:rPr>
          <w:rFonts w:ascii="Times New Roman" w:hAnsi="Times New Roman" w:cs="Times New Roman"/>
          <w:sz w:val="24"/>
          <w:szCs w:val="24"/>
        </w:rPr>
        <w:t xml:space="preserve">Professor Young also claims that we misrepresent his statements about global taxation: </w:t>
      </w:r>
    </w:p>
    <w:p w:rsidR="002C7543" w:rsidRPr="00063035" w:rsidRDefault="002C7543" w:rsidP="003A12E1">
      <w:pPr>
        <w:spacing w:line="240" w:lineRule="auto"/>
        <w:ind w:left="720"/>
        <w:rPr>
          <w:rFonts w:ascii="Times New Roman" w:hAnsi="Times New Roman" w:cs="Times New Roman"/>
          <w:sz w:val="24"/>
          <w:szCs w:val="24"/>
        </w:rPr>
      </w:pPr>
      <w:r w:rsidRPr="00063035">
        <w:rPr>
          <w:rFonts w:ascii="Times New Roman" w:hAnsi="Times New Roman" w:cs="Times New Roman"/>
          <w:sz w:val="24"/>
          <w:szCs w:val="24"/>
        </w:rPr>
        <w:t xml:space="preserve">I do not advocate for a global tax on wealth. I mentioned that Thomas Piketty, in his famous book Capital in the 21st Century, advocates for a global tax. This is the complete opposite of a state-level millionaire tax. A central conclusion from my research is that this kind of coordinated tax policy is not necessary: “States can make policy choices that contribute to the reduction of inequality without waiting for national or international agreements” (Young et al 2016: 440). I do not understand why the author would make up criticisms that are refuted by the original paragraph he quoted from. </w:t>
      </w:r>
    </w:p>
    <w:p w:rsidR="00063035" w:rsidRDefault="00063035" w:rsidP="00063035">
      <w:pPr>
        <w:spacing w:line="240" w:lineRule="auto"/>
        <w:ind w:left="720"/>
        <w:rPr>
          <w:rFonts w:ascii="Arial" w:hAnsi="Arial" w:cs="Arial"/>
          <w:b/>
          <w:color w:val="1F3864" w:themeColor="accent5" w:themeShade="80"/>
          <w:sz w:val="21"/>
          <w:szCs w:val="21"/>
        </w:rPr>
        <w:sectPr w:rsidR="00063035" w:rsidSect="003A12E1">
          <w:footerReference w:type="default" r:id="rId7"/>
          <w:endnotePr>
            <w:numFmt w:val="decimal"/>
          </w:endnotePr>
          <w:pgSz w:w="12240" w:h="15840"/>
          <w:pgMar w:top="1584" w:right="1584" w:bottom="1584" w:left="1584" w:header="720" w:footer="720" w:gutter="0"/>
          <w:cols w:space="720"/>
          <w:docGrid w:linePitch="360"/>
        </w:sectPr>
      </w:pPr>
    </w:p>
    <w:p w:rsidR="002C7543" w:rsidRPr="00063035" w:rsidRDefault="002C7543" w:rsidP="003A12E1">
      <w:pPr>
        <w:spacing w:line="240" w:lineRule="auto"/>
        <w:rPr>
          <w:rFonts w:ascii="Times New Roman" w:hAnsi="Times New Roman" w:cs="Times New Roman"/>
          <w:sz w:val="24"/>
          <w:szCs w:val="24"/>
        </w:rPr>
      </w:pPr>
      <w:r w:rsidRPr="00063035">
        <w:rPr>
          <w:rFonts w:ascii="Arial" w:hAnsi="Arial" w:cs="Arial"/>
          <w:b/>
          <w:color w:val="1F3864" w:themeColor="accent5" w:themeShade="80"/>
          <w:sz w:val="21"/>
          <w:szCs w:val="21"/>
        </w:rPr>
        <w:lastRenderedPageBreak/>
        <w:t>Pioneer’s comment:</w:t>
      </w:r>
      <w:r w:rsidR="00063035">
        <w:rPr>
          <w:rFonts w:ascii="Arial" w:hAnsi="Arial" w:cs="Arial"/>
          <w:b/>
          <w:color w:val="1F3864" w:themeColor="accent5" w:themeShade="80"/>
          <w:sz w:val="21"/>
          <w:szCs w:val="21"/>
        </w:rPr>
        <w:t xml:space="preserve"> </w:t>
      </w:r>
      <w:r w:rsidRPr="00063035">
        <w:rPr>
          <w:rFonts w:ascii="Times New Roman" w:hAnsi="Times New Roman" w:cs="Times New Roman"/>
          <w:sz w:val="24"/>
          <w:szCs w:val="24"/>
        </w:rPr>
        <w:t>Our paper cites Professor Young’s advocacy for a global millionaire’s tax by quoting his own words: “A global tax ameliorates the problem of capital flight by setting a worldwide minimum tax rate on the wealthy, narrowing the window for tax migration.” This is taken directly from Professor Young’s writing in 2016, representing his own conclusion, not that of another author by reference. Pioneer’s paper calls out the apparent inconsistency represented by Profess</w:t>
      </w:r>
      <w:r w:rsidR="008C37CC" w:rsidRPr="00063035">
        <w:rPr>
          <w:rFonts w:ascii="Times New Roman" w:hAnsi="Times New Roman" w:cs="Times New Roman"/>
          <w:sz w:val="24"/>
          <w:szCs w:val="24"/>
        </w:rPr>
        <w:t>or Young’s conclusion. We write,</w:t>
      </w:r>
      <w:r w:rsidRPr="00063035">
        <w:rPr>
          <w:rFonts w:ascii="Times New Roman" w:hAnsi="Times New Roman" w:cs="Times New Roman"/>
          <w:sz w:val="24"/>
          <w:szCs w:val="24"/>
        </w:rPr>
        <w:t xml:space="preserve"> “Professor Young’s call for institution of a global tax on wealth to ameliorate capital flight appears to contradict his foundational conclusion that tax policy has barely any effect on tax-induced migration.”</w:t>
      </w:r>
    </w:p>
    <w:p w:rsidR="003B6D02" w:rsidRDefault="002C7543" w:rsidP="003A12E1">
      <w:pPr>
        <w:spacing w:line="240" w:lineRule="auto"/>
        <w:rPr>
          <w:rFonts w:ascii="Times New Roman" w:hAnsi="Times New Roman" w:cs="Times New Roman"/>
          <w:sz w:val="24"/>
          <w:szCs w:val="24"/>
        </w:rPr>
      </w:pPr>
      <w:r w:rsidRPr="00063035">
        <w:rPr>
          <w:rFonts w:ascii="Times New Roman" w:hAnsi="Times New Roman" w:cs="Times New Roman"/>
          <w:sz w:val="24"/>
          <w:szCs w:val="24"/>
        </w:rPr>
        <w:t>Professor Young’s 2016 journal art</w:t>
      </w:r>
      <w:r w:rsidR="008C37CC" w:rsidRPr="00063035">
        <w:rPr>
          <w:rFonts w:ascii="Times New Roman" w:hAnsi="Times New Roman" w:cs="Times New Roman"/>
          <w:sz w:val="24"/>
          <w:szCs w:val="24"/>
        </w:rPr>
        <w:t xml:space="preserve">icle did cite Piketty’s advocacy </w:t>
      </w:r>
      <w:r w:rsidRPr="00063035">
        <w:rPr>
          <w:rFonts w:ascii="Times New Roman" w:hAnsi="Times New Roman" w:cs="Times New Roman"/>
          <w:sz w:val="24"/>
          <w:szCs w:val="24"/>
        </w:rPr>
        <w:t>f</w:t>
      </w:r>
      <w:r w:rsidR="008C37CC" w:rsidRPr="00063035">
        <w:rPr>
          <w:rFonts w:ascii="Times New Roman" w:hAnsi="Times New Roman" w:cs="Times New Roman"/>
          <w:sz w:val="24"/>
          <w:szCs w:val="24"/>
        </w:rPr>
        <w:t>or</w:t>
      </w:r>
      <w:r w:rsidRPr="00063035">
        <w:rPr>
          <w:rFonts w:ascii="Times New Roman" w:hAnsi="Times New Roman" w:cs="Times New Roman"/>
          <w:sz w:val="24"/>
          <w:szCs w:val="24"/>
        </w:rPr>
        <w:t xml:space="preserve"> global taxation, but in the same paragraph in which he did, the professor added his o</w:t>
      </w:r>
      <w:r w:rsidR="008C37CC" w:rsidRPr="00063035">
        <w:rPr>
          <w:rFonts w:ascii="Times New Roman" w:hAnsi="Times New Roman" w:cs="Times New Roman"/>
          <w:sz w:val="24"/>
          <w:szCs w:val="24"/>
        </w:rPr>
        <w:t>wn conclusions</w:t>
      </w:r>
      <w:r w:rsidRPr="00063035">
        <w:rPr>
          <w:rFonts w:ascii="Times New Roman" w:hAnsi="Times New Roman" w:cs="Times New Roman"/>
          <w:sz w:val="24"/>
          <w:szCs w:val="24"/>
        </w:rPr>
        <w:t>, stating that a global tax on millionaires would ameliorate tax migration by narrowing the window for tax migration. He calls a global tax the “hallmark of tax policy coordination.” A hallmark, according to the Oxford Dictionary, is a mark stamped on articles of gold, silver, or platinum by the British assay offices, certifying their standard of purity. Following his endorsement of the utility of global taxation, he concludes that a global tax is not likely to happen internationally or nationally f</w:t>
      </w:r>
      <w:r w:rsidR="008C37CC" w:rsidRPr="00063035">
        <w:rPr>
          <w:rFonts w:ascii="Times New Roman" w:hAnsi="Times New Roman" w:cs="Times New Roman"/>
          <w:sz w:val="24"/>
          <w:szCs w:val="24"/>
        </w:rPr>
        <w:t>or political reasons. He writes,</w:t>
      </w:r>
      <w:r w:rsidRPr="00063035">
        <w:rPr>
          <w:rFonts w:ascii="Times New Roman" w:hAnsi="Times New Roman" w:cs="Times New Roman"/>
          <w:sz w:val="24"/>
          <w:szCs w:val="24"/>
        </w:rPr>
        <w:t xml:space="preserve"> “However, in the United States, political stalemate and growing polarization between red and blue states suggests that greater tax cooperation and harmonization is unlikely.”  He follows this by stating that “Our findings show that state—and by extension, national—governments have considerable leeway for independent tax policy. States can make policy choices that contribute to the reduction of inequality without waiting for national or international agreements.” Thus, Professor Young response to Pioneer’s point, i.e. that it is a made-up criticism, is contradicted by his own writing in which he states that global taxation would ameliorate tax migration by narrowing the window for tax migration but that it is politically unlikely to happen and therefore the next best alternative is a state-by-state adoption of millionaire’s taxes.</w:t>
      </w:r>
    </w:p>
    <w:p w:rsidR="003A12E1" w:rsidRDefault="003A12E1" w:rsidP="003A12E1">
      <w:pPr>
        <w:spacing w:line="240" w:lineRule="auto"/>
        <w:rPr>
          <w:rFonts w:ascii="Times New Roman" w:hAnsi="Times New Roman" w:cs="Times New Roman"/>
          <w:sz w:val="24"/>
          <w:szCs w:val="24"/>
        </w:rPr>
      </w:pPr>
    </w:p>
    <w:sectPr w:rsidR="003A12E1" w:rsidSect="003A12E1">
      <w:type w:val="continuous"/>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B6" w:rsidRDefault="000A29B6" w:rsidP="001E5A80">
      <w:pPr>
        <w:spacing w:after="0" w:line="240" w:lineRule="auto"/>
      </w:pPr>
      <w:r>
        <w:separator/>
      </w:r>
    </w:p>
  </w:endnote>
  <w:endnote w:type="continuationSeparator" w:id="0">
    <w:p w:rsidR="000A29B6" w:rsidRDefault="000A29B6" w:rsidP="001E5A80">
      <w:pPr>
        <w:spacing w:after="0" w:line="240" w:lineRule="auto"/>
      </w:pPr>
      <w:r>
        <w:continuationSeparator/>
      </w:r>
    </w:p>
  </w:endnote>
  <w:endnote w:id="1">
    <w:p w:rsidR="000A29B6" w:rsidRPr="00DC0C0F" w:rsidRDefault="000A29B6">
      <w:pPr>
        <w:pStyle w:val="EndnoteText"/>
        <w:rPr>
          <w:rFonts w:ascii="Arial" w:hAnsi="Arial" w:cs="Arial"/>
          <w:sz w:val="19"/>
          <w:szCs w:val="19"/>
        </w:rPr>
      </w:pPr>
      <w:r w:rsidRPr="00DC0C0F">
        <w:rPr>
          <w:rStyle w:val="EndnoteReference"/>
          <w:rFonts w:ascii="Arial" w:hAnsi="Arial" w:cs="Arial"/>
          <w:sz w:val="19"/>
          <w:szCs w:val="19"/>
        </w:rPr>
        <w:endnoteRef/>
      </w:r>
      <w:r w:rsidRPr="00DC0C0F">
        <w:rPr>
          <w:rFonts w:ascii="Arial" w:hAnsi="Arial" w:cs="Arial"/>
          <w:sz w:val="19"/>
          <w:szCs w:val="19"/>
        </w:rPr>
        <w:t xml:space="preserve"> </w:t>
      </w:r>
      <w:hyperlink r:id="rId1" w:history="1">
        <w:r w:rsidR="00DC0C0F" w:rsidRPr="00DC0C0F">
          <w:rPr>
            <w:rStyle w:val="Hyperlink"/>
            <w:rFonts w:ascii="Arial" w:hAnsi="Arial" w:cs="Arial"/>
            <w:sz w:val="19"/>
            <w:szCs w:val="19"/>
          </w:rPr>
          <w:t>https://web.stanford.edu/~cy10/public/Jun16ASRFeature.pdf</w:t>
        </w:r>
      </w:hyperlink>
      <w:r w:rsidR="00DC0C0F" w:rsidRPr="00DC0C0F">
        <w:rPr>
          <w:rFonts w:ascii="Arial" w:hAnsi="Arial" w:cs="Arial"/>
          <w:sz w:val="19"/>
          <w:szCs w:val="19"/>
        </w:rPr>
        <w:t xml:space="preserve"> </w:t>
      </w:r>
    </w:p>
  </w:endnote>
  <w:endnote w:id="2">
    <w:p w:rsidR="00627936" w:rsidRPr="00DC0C0F" w:rsidRDefault="00627936" w:rsidP="00627936">
      <w:pPr>
        <w:pStyle w:val="EndnoteText"/>
        <w:rPr>
          <w:rFonts w:ascii="Arial" w:hAnsi="Arial" w:cs="Arial"/>
          <w:sz w:val="19"/>
          <w:szCs w:val="19"/>
        </w:rPr>
      </w:pPr>
      <w:r w:rsidRPr="00DC0C0F">
        <w:rPr>
          <w:rStyle w:val="EndnoteReference"/>
          <w:rFonts w:ascii="Arial" w:hAnsi="Arial" w:cs="Arial"/>
          <w:sz w:val="19"/>
          <w:szCs w:val="19"/>
        </w:rPr>
        <w:endnoteRef/>
      </w:r>
      <w:r w:rsidRPr="00DC0C0F">
        <w:rPr>
          <w:rFonts w:ascii="Arial" w:hAnsi="Arial" w:cs="Arial"/>
          <w:sz w:val="19"/>
          <w:szCs w:val="19"/>
        </w:rPr>
        <w:t xml:space="preserve"> </w:t>
      </w:r>
      <w:hyperlink r:id="rId2" w:history="1">
        <w:r w:rsidR="00DC0C0F" w:rsidRPr="00DC0C0F">
          <w:rPr>
            <w:rStyle w:val="Hyperlink"/>
            <w:rFonts w:ascii="Arial" w:hAnsi="Arial" w:cs="Arial"/>
            <w:sz w:val="19"/>
            <w:szCs w:val="19"/>
          </w:rPr>
          <w:t>https://pdfs.semanticscholar.org/2a67/742688691371703cf3aa55d8c7677ca6490a.pdf</w:t>
        </w:r>
      </w:hyperlink>
      <w:r w:rsidR="00DC0C0F" w:rsidRPr="00DC0C0F">
        <w:rPr>
          <w:rFonts w:ascii="Arial" w:hAnsi="Arial" w:cs="Arial"/>
          <w:sz w:val="19"/>
          <w:szCs w:val="19"/>
        </w:rPr>
        <w:t xml:space="preserve"> </w:t>
      </w:r>
    </w:p>
  </w:endnote>
  <w:endnote w:id="3">
    <w:p w:rsidR="00627936" w:rsidRPr="00DC0C0F" w:rsidRDefault="00627936" w:rsidP="00627936">
      <w:pPr>
        <w:pStyle w:val="EndnoteText"/>
        <w:rPr>
          <w:rFonts w:ascii="Arial" w:hAnsi="Arial" w:cs="Arial"/>
          <w:sz w:val="19"/>
          <w:szCs w:val="19"/>
        </w:rPr>
      </w:pPr>
      <w:r w:rsidRPr="00DC0C0F">
        <w:rPr>
          <w:rStyle w:val="EndnoteReference"/>
          <w:rFonts w:ascii="Arial" w:hAnsi="Arial" w:cs="Arial"/>
          <w:sz w:val="19"/>
          <w:szCs w:val="19"/>
        </w:rPr>
        <w:endnoteRef/>
      </w:r>
      <w:r w:rsidRPr="00DC0C0F">
        <w:rPr>
          <w:rFonts w:ascii="Arial" w:hAnsi="Arial" w:cs="Arial"/>
          <w:sz w:val="19"/>
          <w:szCs w:val="19"/>
        </w:rPr>
        <w:t xml:space="preserve"> </w:t>
      </w:r>
      <w:hyperlink r:id="rId3" w:history="1">
        <w:r w:rsidR="00DC0C0F" w:rsidRPr="00DC0C0F">
          <w:rPr>
            <w:rStyle w:val="Hyperlink"/>
            <w:rFonts w:ascii="Arial" w:hAnsi="Arial" w:cs="Arial"/>
            <w:sz w:val="19"/>
            <w:szCs w:val="19"/>
          </w:rPr>
          <w:t>https://blogs.wsj.com/wealth/2011/04/20/millionaire-tax-didnt-chase-the-rich-from-new-jersey-study-says/</w:t>
        </w:r>
      </w:hyperlink>
      <w:r w:rsidR="00DC0C0F" w:rsidRPr="00DC0C0F">
        <w:rPr>
          <w:rFonts w:ascii="Arial" w:hAnsi="Arial" w:cs="Arial"/>
          <w:sz w:val="19"/>
          <w:szCs w:val="19"/>
        </w:rPr>
        <w:t xml:space="preserve"> </w:t>
      </w:r>
    </w:p>
  </w:endnote>
  <w:endnote w:id="4">
    <w:p w:rsidR="00627936" w:rsidRPr="00DC0C0F" w:rsidRDefault="00627936" w:rsidP="00627936">
      <w:pPr>
        <w:pStyle w:val="EndnoteText"/>
        <w:rPr>
          <w:rFonts w:ascii="Arial" w:hAnsi="Arial" w:cs="Arial"/>
          <w:sz w:val="19"/>
          <w:szCs w:val="19"/>
        </w:rPr>
      </w:pPr>
      <w:r w:rsidRPr="00DC0C0F">
        <w:rPr>
          <w:rStyle w:val="EndnoteReference"/>
          <w:rFonts w:ascii="Arial" w:hAnsi="Arial" w:cs="Arial"/>
          <w:sz w:val="19"/>
          <w:szCs w:val="19"/>
        </w:rPr>
        <w:endnoteRef/>
      </w:r>
      <w:r w:rsidRPr="00DC0C0F">
        <w:rPr>
          <w:rFonts w:ascii="Arial" w:hAnsi="Arial" w:cs="Arial"/>
          <w:sz w:val="19"/>
          <w:szCs w:val="19"/>
        </w:rPr>
        <w:t xml:space="preserve"> </w:t>
      </w:r>
      <w:hyperlink r:id="rId4" w:history="1">
        <w:r w:rsidRPr="00DC0C0F">
          <w:rPr>
            <w:rStyle w:val="Hyperlink"/>
            <w:rFonts w:ascii="Arial" w:hAnsi="Arial" w:cs="Arial"/>
            <w:sz w:val="19"/>
            <w:szCs w:val="19"/>
          </w:rPr>
          <w:t>https://www.nytimes.com/2013/02/16/business/high-taxes-are-not-a-prime-reason-for-relocation-studies-say.html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807206"/>
      <w:docPartObj>
        <w:docPartGallery w:val="Page Numbers (Bottom of Page)"/>
        <w:docPartUnique/>
      </w:docPartObj>
    </w:sdtPr>
    <w:sdtEndPr>
      <w:rPr>
        <w:noProof/>
      </w:rPr>
    </w:sdtEndPr>
    <w:sdtContent>
      <w:p w:rsidR="00DC0C0F" w:rsidRDefault="00DC0C0F">
        <w:pPr>
          <w:pStyle w:val="Footer"/>
          <w:jc w:val="right"/>
        </w:pPr>
        <w:r>
          <w:rPr>
            <w:rFonts w:ascii="Times New Roman" w:hAnsi="Times New Roman" w:cs="Times New Roman"/>
            <w:noProof/>
            <w:sz w:val="24"/>
            <w:szCs w:val="24"/>
          </w:rPr>
          <w:drawing>
            <wp:anchor distT="0" distB="0" distL="114300" distR="114300" simplePos="0" relativeHeight="251659264" behindDoc="1" locked="0" layoutInCell="1" allowOverlap="1" wp14:anchorId="7A392B82" wp14:editId="7E4725E4">
              <wp:simplePos x="0" y="0"/>
              <wp:positionH relativeFrom="column">
                <wp:posOffset>0</wp:posOffset>
              </wp:positionH>
              <wp:positionV relativeFrom="paragraph">
                <wp:posOffset>-53340</wp:posOffset>
              </wp:positionV>
              <wp:extent cx="2114550" cy="414655"/>
              <wp:effectExtent l="0" t="0" r="0" b="4445"/>
              <wp:wrapTight wrapText="bothSides">
                <wp:wrapPolygon edited="0">
                  <wp:start x="0" y="0"/>
                  <wp:lineTo x="0" y="20839"/>
                  <wp:lineTo x="21405" y="20839"/>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eerInstitute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4146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2C746E">
          <w:rPr>
            <w:noProof/>
          </w:rPr>
          <w:t>7</w:t>
        </w:r>
        <w:r>
          <w:rPr>
            <w:noProof/>
          </w:rPr>
          <w:fldChar w:fldCharType="end"/>
        </w:r>
      </w:p>
    </w:sdtContent>
  </w:sdt>
  <w:p w:rsidR="00C8261D" w:rsidRDefault="00C82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B6" w:rsidRDefault="000A29B6" w:rsidP="001E5A80">
      <w:pPr>
        <w:spacing w:after="0" w:line="240" w:lineRule="auto"/>
      </w:pPr>
      <w:r>
        <w:separator/>
      </w:r>
    </w:p>
  </w:footnote>
  <w:footnote w:type="continuationSeparator" w:id="0">
    <w:p w:rsidR="000A29B6" w:rsidRDefault="000A29B6" w:rsidP="001E5A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F6"/>
    <w:rsid w:val="0006011D"/>
    <w:rsid w:val="00063035"/>
    <w:rsid w:val="000A29B6"/>
    <w:rsid w:val="000B36DC"/>
    <w:rsid w:val="000F2BBF"/>
    <w:rsid w:val="000F3BC7"/>
    <w:rsid w:val="00101F43"/>
    <w:rsid w:val="00171C8D"/>
    <w:rsid w:val="00193C51"/>
    <w:rsid w:val="001E5A80"/>
    <w:rsid w:val="0020428D"/>
    <w:rsid w:val="00234847"/>
    <w:rsid w:val="00292E75"/>
    <w:rsid w:val="002A2D38"/>
    <w:rsid w:val="002C746E"/>
    <w:rsid w:val="002C7543"/>
    <w:rsid w:val="002D4FD0"/>
    <w:rsid w:val="00355FCB"/>
    <w:rsid w:val="00371069"/>
    <w:rsid w:val="003A12E1"/>
    <w:rsid w:val="003A4EE2"/>
    <w:rsid w:val="003B538F"/>
    <w:rsid w:val="003B6D02"/>
    <w:rsid w:val="003C48B8"/>
    <w:rsid w:val="003D2C91"/>
    <w:rsid w:val="0040754A"/>
    <w:rsid w:val="00483D88"/>
    <w:rsid w:val="0049314F"/>
    <w:rsid w:val="004F0AA6"/>
    <w:rsid w:val="0052628F"/>
    <w:rsid w:val="00545B99"/>
    <w:rsid w:val="0055225A"/>
    <w:rsid w:val="005E5A3E"/>
    <w:rsid w:val="00627936"/>
    <w:rsid w:val="006342AD"/>
    <w:rsid w:val="0065777A"/>
    <w:rsid w:val="00735FA9"/>
    <w:rsid w:val="0078004C"/>
    <w:rsid w:val="007B6C91"/>
    <w:rsid w:val="007E1CFA"/>
    <w:rsid w:val="00807FE4"/>
    <w:rsid w:val="0085302E"/>
    <w:rsid w:val="00870128"/>
    <w:rsid w:val="008C37CC"/>
    <w:rsid w:val="008D6906"/>
    <w:rsid w:val="009013C3"/>
    <w:rsid w:val="0095031F"/>
    <w:rsid w:val="009C68EA"/>
    <w:rsid w:val="00A27DF6"/>
    <w:rsid w:val="00A318D7"/>
    <w:rsid w:val="00A3524F"/>
    <w:rsid w:val="00AF37F1"/>
    <w:rsid w:val="00B1280D"/>
    <w:rsid w:val="00BF2DFA"/>
    <w:rsid w:val="00C658A1"/>
    <w:rsid w:val="00C732EE"/>
    <w:rsid w:val="00C8261D"/>
    <w:rsid w:val="00C900B5"/>
    <w:rsid w:val="00CC64EC"/>
    <w:rsid w:val="00DC0C0F"/>
    <w:rsid w:val="00DC0C97"/>
    <w:rsid w:val="00E2719E"/>
    <w:rsid w:val="00E5579A"/>
    <w:rsid w:val="00E90385"/>
    <w:rsid w:val="00F2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34462-DE9B-4152-8C7A-DFB3AF07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29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5F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19E"/>
    <w:rPr>
      <w:color w:val="0563C1" w:themeColor="hyperlink"/>
      <w:u w:val="single"/>
    </w:rPr>
  </w:style>
  <w:style w:type="paragraph" w:styleId="EndnoteText">
    <w:name w:val="endnote text"/>
    <w:basedOn w:val="Normal"/>
    <w:link w:val="EndnoteTextChar"/>
    <w:uiPriority w:val="99"/>
    <w:semiHidden/>
    <w:unhideWhenUsed/>
    <w:rsid w:val="001E5A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A80"/>
    <w:rPr>
      <w:sz w:val="20"/>
      <w:szCs w:val="20"/>
    </w:rPr>
  </w:style>
  <w:style w:type="character" w:styleId="EndnoteReference">
    <w:name w:val="endnote reference"/>
    <w:basedOn w:val="DefaultParagraphFont"/>
    <w:uiPriority w:val="99"/>
    <w:semiHidden/>
    <w:unhideWhenUsed/>
    <w:rsid w:val="001E5A80"/>
    <w:rPr>
      <w:vertAlign w:val="superscript"/>
    </w:rPr>
  </w:style>
  <w:style w:type="character" w:customStyle="1" w:styleId="Heading3Char">
    <w:name w:val="Heading 3 Char"/>
    <w:basedOn w:val="DefaultParagraphFont"/>
    <w:link w:val="Heading3"/>
    <w:uiPriority w:val="9"/>
    <w:semiHidden/>
    <w:rsid w:val="00735FA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A29B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63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35"/>
    <w:rPr>
      <w:rFonts w:ascii="Segoe UI" w:hAnsi="Segoe UI" w:cs="Segoe UI"/>
      <w:sz w:val="18"/>
      <w:szCs w:val="18"/>
    </w:rPr>
  </w:style>
  <w:style w:type="paragraph" w:styleId="Header">
    <w:name w:val="header"/>
    <w:basedOn w:val="Normal"/>
    <w:link w:val="HeaderChar"/>
    <w:uiPriority w:val="99"/>
    <w:unhideWhenUsed/>
    <w:rsid w:val="00C82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1D"/>
  </w:style>
  <w:style w:type="paragraph" w:styleId="Footer">
    <w:name w:val="footer"/>
    <w:basedOn w:val="Normal"/>
    <w:link w:val="FooterChar"/>
    <w:uiPriority w:val="99"/>
    <w:unhideWhenUsed/>
    <w:rsid w:val="00C8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85842">
      <w:bodyDiv w:val="1"/>
      <w:marLeft w:val="0"/>
      <w:marRight w:val="0"/>
      <w:marTop w:val="0"/>
      <w:marBottom w:val="0"/>
      <w:divBdr>
        <w:top w:val="none" w:sz="0" w:space="0" w:color="auto"/>
        <w:left w:val="none" w:sz="0" w:space="0" w:color="auto"/>
        <w:bottom w:val="none" w:sz="0" w:space="0" w:color="auto"/>
        <w:right w:val="none" w:sz="0" w:space="0" w:color="auto"/>
      </w:divBdr>
    </w:div>
    <w:div w:id="2003195712">
      <w:bodyDiv w:val="1"/>
      <w:marLeft w:val="0"/>
      <w:marRight w:val="0"/>
      <w:marTop w:val="0"/>
      <w:marBottom w:val="0"/>
      <w:divBdr>
        <w:top w:val="none" w:sz="0" w:space="0" w:color="auto"/>
        <w:left w:val="none" w:sz="0" w:space="0" w:color="auto"/>
        <w:bottom w:val="none" w:sz="0" w:space="0" w:color="auto"/>
        <w:right w:val="none" w:sz="0" w:space="0" w:color="auto"/>
      </w:divBdr>
    </w:div>
    <w:div w:id="20534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blogs.wsj.com/wealth/2011/04/20/millionaire-tax-didnt-chase-the-rich-from-new-jersey-study-says/" TargetMode="External"/><Relationship Id="rId2" Type="http://schemas.openxmlformats.org/officeDocument/2006/relationships/hyperlink" Target="https://pdfs.semanticscholar.org/2a67/742688691371703cf3aa55d8c7677ca6490a.pdf" TargetMode="External"/><Relationship Id="rId1" Type="http://schemas.openxmlformats.org/officeDocument/2006/relationships/hyperlink" Target="https://web.stanford.edu/~cy10/public/Jun16ASRFeature.pdf" TargetMode="External"/><Relationship Id="rId4" Type="http://schemas.openxmlformats.org/officeDocument/2006/relationships/hyperlink" Target="https://www.nytimes.com/2013/02/16/business/high-taxes-are-not-a-prime-reason-for-relocation-studies-sa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A49D6-6D3F-4243-8A38-D5A71A48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Sullivan</dc:creator>
  <cp:keywords/>
  <dc:description/>
  <cp:lastModifiedBy>Jim Stergios</cp:lastModifiedBy>
  <cp:revision>3</cp:revision>
  <cp:lastPrinted>2018-05-22T18:30:00Z</cp:lastPrinted>
  <dcterms:created xsi:type="dcterms:W3CDTF">2018-05-22T18:35:00Z</dcterms:created>
  <dcterms:modified xsi:type="dcterms:W3CDTF">2018-05-22T18:48:00Z</dcterms:modified>
</cp:coreProperties>
</file>